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56D5772D"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681AD3">
        <w:t>St. Mary’s CE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7086C70F" w:rsidR="002940F3" w:rsidRDefault="00D0689E" w:rsidP="00C31636">
            <w:pPr>
              <w:pStyle w:val="TableRow"/>
              <w:ind w:left="0" w:right="0"/>
            </w:pPr>
            <w:r>
              <w:t xml:space="preserve">181 </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7D8F8328" w:rsidR="002940F3" w:rsidRDefault="00D0689E" w:rsidP="00C31636">
            <w:pPr>
              <w:pStyle w:val="TableRow"/>
              <w:ind w:left="0" w:right="0"/>
            </w:pPr>
            <w:r>
              <w:t>22.6%</w:t>
            </w:r>
          </w:p>
        </w:tc>
      </w:tr>
      <w:tr w:rsidR="00A47585" w14:paraId="2A7D54C0" w14:textId="77777777" w:rsidTr="00656B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A47585" w:rsidRDefault="00A47585" w:rsidP="00A47585">
            <w:pPr>
              <w:pStyle w:val="TableRow"/>
              <w:ind w:left="0" w:right="0"/>
            </w:pPr>
            <w:r>
              <w:t xml:space="preserve">Academic year/years that our current pupil premium strategy plan covers </w:t>
            </w:r>
            <w:r w:rsidRPr="1CBF4D92">
              <w:rPr>
                <w:b/>
              </w:rPr>
              <w:t>(</w:t>
            </w:r>
            <w:r w:rsidRPr="004B4D0A">
              <w:rPr>
                <w:b/>
              </w:rPr>
              <w:t>3-year</w:t>
            </w:r>
            <w:r w:rsidRPr="1CBF4D92">
              <w:rPr>
                <w:b/>
              </w:rPr>
              <w:t xml:space="preserve"> plans are recommended</w:t>
            </w:r>
            <w:r>
              <w:rPr>
                <w:b/>
              </w:rPr>
              <w:t xml:space="preserve"> – you must still publish an updated statement each academic year</w:t>
            </w:r>
            <w:r w:rsidRPr="1CBF4D92">
              <w:rPr>
                <w:b/>
              </w:rPr>
              <w:t>)</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9B4DF06" w:rsidR="00A47585" w:rsidRDefault="00A47585" w:rsidP="00A47585">
            <w:pPr>
              <w:pStyle w:val="TableRow"/>
              <w:ind w:left="0" w:right="0"/>
            </w:pPr>
            <w:r>
              <w:t>2023-2026</w:t>
            </w:r>
          </w:p>
        </w:tc>
      </w:tr>
      <w:tr w:rsidR="00A47585" w14:paraId="2A7D54C3" w14:textId="77777777" w:rsidTr="00656B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A47585" w:rsidRDefault="00A47585" w:rsidP="00A47585">
            <w:pPr>
              <w:pStyle w:val="TableRow"/>
              <w:ind w:left="0" w:right="0"/>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ADCACD6" w:rsidR="00A47585" w:rsidRDefault="00A47585" w:rsidP="00A47585">
            <w:pPr>
              <w:pStyle w:val="TableRow"/>
              <w:ind w:left="0" w:right="0"/>
            </w:pPr>
            <w:r>
              <w:t>December 2025</w:t>
            </w:r>
          </w:p>
        </w:tc>
      </w:tr>
      <w:tr w:rsidR="00A47585" w14:paraId="2A7D54C6" w14:textId="77777777" w:rsidTr="00656B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A47585" w:rsidRDefault="00A47585" w:rsidP="00A47585">
            <w:pPr>
              <w:pStyle w:val="TableRow"/>
              <w:ind w:left="0" w:right="0"/>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EDF8EC4" w:rsidR="00A47585" w:rsidRDefault="00A47585" w:rsidP="00A47585">
            <w:pPr>
              <w:pStyle w:val="TableRow"/>
              <w:ind w:left="0" w:right="0"/>
            </w:pPr>
            <w:r>
              <w:t>July 2026</w:t>
            </w:r>
          </w:p>
        </w:tc>
      </w:tr>
      <w:tr w:rsidR="00A47585" w14:paraId="2A7D54C9" w14:textId="77777777" w:rsidTr="00656B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A47585" w:rsidRDefault="00A47585" w:rsidP="00A47585">
            <w:pPr>
              <w:pStyle w:val="TableRow"/>
              <w:ind w:left="0" w:right="0"/>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174ED50" w:rsidR="00A47585" w:rsidRDefault="00A47585" w:rsidP="00A47585">
            <w:pPr>
              <w:pStyle w:val="TableRow"/>
              <w:ind w:left="0" w:right="0"/>
            </w:pPr>
            <w:r>
              <w:t xml:space="preserve">Deborah </w:t>
            </w:r>
            <w:proofErr w:type="spellStart"/>
            <w:r>
              <w:t>Faryniarz</w:t>
            </w:r>
            <w:proofErr w:type="spellEnd"/>
          </w:p>
        </w:tc>
      </w:tr>
      <w:tr w:rsidR="00A47585" w14:paraId="2A7D54CC" w14:textId="77777777" w:rsidTr="00656B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A47585" w:rsidRDefault="00A47585" w:rsidP="00A47585">
            <w:pPr>
              <w:pStyle w:val="TableRow"/>
              <w:ind w:left="0" w:right="0"/>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DC0F67E" w:rsidR="00A47585" w:rsidRDefault="00A47585" w:rsidP="00A47585">
            <w:pPr>
              <w:pStyle w:val="TableRow"/>
              <w:ind w:left="0" w:right="0"/>
            </w:pPr>
            <w:r>
              <w:t>SLT</w:t>
            </w:r>
          </w:p>
        </w:tc>
      </w:tr>
      <w:tr w:rsidR="00A47585" w14:paraId="2A7D54CF" w14:textId="77777777" w:rsidTr="00656BC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A47585" w:rsidRDefault="00A47585" w:rsidP="00A47585">
            <w:pPr>
              <w:pStyle w:val="TableRow"/>
              <w:ind w:left="0" w:right="0"/>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EBD3735" w:rsidR="00A47585" w:rsidRDefault="00A47585" w:rsidP="00A47585">
            <w:pPr>
              <w:pStyle w:val="TableRow"/>
              <w:ind w:left="0" w:right="0"/>
            </w:pPr>
            <w:r>
              <w:t xml:space="preserve">Yvonne </w:t>
            </w:r>
            <w:proofErr w:type="spellStart"/>
            <w:r>
              <w:t>Guariento</w:t>
            </w:r>
            <w:proofErr w:type="spellEnd"/>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27611B" w14:textId="77777777" w:rsidR="00E66558" w:rsidRDefault="009D71E8" w:rsidP="00C31636">
            <w:pPr>
              <w:pStyle w:val="TableRow"/>
              <w:ind w:left="0" w:right="0"/>
            </w:pPr>
            <w:r>
              <w:t>£</w:t>
            </w:r>
            <w:r w:rsidR="00A47585">
              <w:t>69,545</w:t>
            </w:r>
          </w:p>
          <w:p w14:paraId="29BC3366" w14:textId="77777777" w:rsidR="000A5B9E" w:rsidRDefault="000A5B9E" w:rsidP="00C31636">
            <w:pPr>
              <w:pStyle w:val="TableRow"/>
              <w:ind w:left="0" w:right="0"/>
            </w:pPr>
          </w:p>
          <w:p w14:paraId="5A4B1A76" w14:textId="77777777" w:rsidR="000A5B9E" w:rsidRDefault="000A5B9E" w:rsidP="00C31636">
            <w:pPr>
              <w:pStyle w:val="TableRow"/>
              <w:ind w:left="0" w:right="0"/>
            </w:pPr>
            <w:r>
              <w:t>(£59085 PP</w:t>
            </w:r>
          </w:p>
          <w:p w14:paraId="5711E7DF" w14:textId="77777777" w:rsidR="000A5B9E" w:rsidRDefault="000A5B9E" w:rsidP="00C31636">
            <w:pPr>
              <w:pStyle w:val="TableRow"/>
              <w:ind w:left="0" w:right="0"/>
            </w:pPr>
            <w:r>
              <w:t>£2570 LAC</w:t>
            </w:r>
          </w:p>
          <w:p w14:paraId="2A7D54D8" w14:textId="65A0B462" w:rsidR="000A5B9E" w:rsidRDefault="000A5B9E" w:rsidP="00C31636">
            <w:pPr>
              <w:pStyle w:val="TableRow"/>
              <w:ind w:left="0" w:right="0"/>
            </w:pPr>
            <w:r>
              <w:t>£7890 Adopted)</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4AF95AA" w:rsidR="00E66558" w:rsidRDefault="009D71E8" w:rsidP="00C31636">
            <w:pPr>
              <w:pStyle w:val="TableRow"/>
              <w:ind w:left="0" w:right="0"/>
            </w:pPr>
            <w:r>
              <w:t>£</w:t>
            </w:r>
            <w:r w:rsidR="00A47585">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CADC001" w:rsidR="00E66558" w:rsidRDefault="009D71E8" w:rsidP="00C31636">
            <w:pPr>
              <w:pStyle w:val="TableRow"/>
              <w:ind w:left="0" w:right="0"/>
            </w:pPr>
            <w:r>
              <w:t>£</w:t>
            </w:r>
            <w:r w:rsidR="00A47585">
              <w:t>69,545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BF4FD" w14:textId="77777777" w:rsidR="000A5B9E" w:rsidRPr="000A5B9E" w:rsidRDefault="000A5B9E" w:rsidP="000A5B9E">
            <w:pPr>
              <w:suppressAutoHyphens w:val="0"/>
              <w:autoSpaceDE w:val="0"/>
              <w:adjustRightInd w:val="0"/>
              <w:spacing w:after="0" w:line="240" w:lineRule="auto"/>
              <w:rPr>
                <w:rFonts w:eastAsia="Calibri" w:cs="Arial"/>
                <w:color w:val="000000"/>
                <w:sz w:val="20"/>
                <w:szCs w:val="20"/>
              </w:rPr>
            </w:pPr>
            <w:r w:rsidRPr="000A5B9E">
              <w:rPr>
                <w:rFonts w:eastAsia="Calibri" w:cs="Arial"/>
                <w:color w:val="000000"/>
                <w:sz w:val="20"/>
                <w:szCs w:val="20"/>
              </w:rPr>
              <w:t>At St. Mary’s, we recognise that ‘with God all things are possible’ (Matthew 19:26). Everyone is valued, respected as an individual and encouraged to achieve their full potential. Our faith, underpinned by our core Christian values of love, respect, creativity, is at the heart of school life.</w:t>
            </w:r>
          </w:p>
          <w:p w14:paraId="23328BB8" w14:textId="77777777" w:rsidR="000A5B9E" w:rsidRPr="000A5B9E" w:rsidRDefault="000A5B9E" w:rsidP="000A5B9E">
            <w:pPr>
              <w:suppressAutoHyphens w:val="0"/>
              <w:autoSpaceDE w:val="0"/>
              <w:adjustRightInd w:val="0"/>
              <w:spacing w:after="0" w:line="240" w:lineRule="auto"/>
              <w:rPr>
                <w:rFonts w:eastAsia="Calibri" w:cs="Arial"/>
                <w:color w:val="000000"/>
                <w:sz w:val="20"/>
                <w:szCs w:val="20"/>
              </w:rPr>
            </w:pPr>
          </w:p>
          <w:p w14:paraId="6526C46B" w14:textId="77777777" w:rsidR="000A5B9E" w:rsidRPr="000A5B9E" w:rsidRDefault="000A5B9E" w:rsidP="000A5B9E">
            <w:pPr>
              <w:suppressAutoHyphens w:val="0"/>
              <w:autoSpaceDE w:val="0"/>
              <w:adjustRightInd w:val="0"/>
              <w:spacing w:after="0" w:line="240" w:lineRule="auto"/>
              <w:rPr>
                <w:rFonts w:eastAsia="Calibri" w:cs="Arial"/>
                <w:color w:val="000000"/>
                <w:sz w:val="20"/>
                <w:szCs w:val="20"/>
              </w:rPr>
            </w:pPr>
            <w:r w:rsidRPr="000A5B9E">
              <w:rPr>
                <w:rFonts w:eastAsia="Calibri" w:cs="Arial"/>
                <w:color w:val="000000"/>
                <w:sz w:val="20"/>
                <w:szCs w:val="20"/>
              </w:rPr>
              <w:t xml:space="preserve">For us, this means that personal challenges or circumstances should not be a barrier to a child’s life chances. We aim for all our children to shine as they enjoy and achieve their full potential in their learning.  </w:t>
            </w:r>
          </w:p>
          <w:p w14:paraId="1B4A2E04" w14:textId="77777777" w:rsidR="000A5B9E" w:rsidRPr="000A5B9E" w:rsidRDefault="000A5B9E" w:rsidP="000A5B9E">
            <w:pPr>
              <w:suppressAutoHyphens w:val="0"/>
              <w:autoSpaceDE w:val="0"/>
              <w:adjustRightInd w:val="0"/>
              <w:spacing w:after="0" w:line="240" w:lineRule="auto"/>
              <w:rPr>
                <w:rFonts w:eastAsia="Calibri" w:cs="Arial"/>
                <w:color w:val="000000"/>
                <w:sz w:val="20"/>
                <w:szCs w:val="20"/>
              </w:rPr>
            </w:pPr>
          </w:p>
          <w:p w14:paraId="07D40D93" w14:textId="77777777" w:rsidR="000A5B9E" w:rsidRPr="000A5B9E" w:rsidRDefault="000A5B9E" w:rsidP="000A5B9E">
            <w:pPr>
              <w:suppressAutoHyphens w:val="0"/>
              <w:autoSpaceDE w:val="0"/>
              <w:adjustRightInd w:val="0"/>
              <w:spacing w:after="0" w:line="240" w:lineRule="auto"/>
              <w:rPr>
                <w:rFonts w:eastAsia="Calibri" w:cs="Arial"/>
                <w:color w:val="000000"/>
                <w:sz w:val="20"/>
                <w:szCs w:val="20"/>
              </w:rPr>
            </w:pPr>
            <w:r w:rsidRPr="000A5B9E">
              <w:rPr>
                <w:rFonts w:eastAsia="Calibri" w:cs="Arial"/>
                <w:color w:val="000000"/>
                <w:sz w:val="20"/>
                <w:szCs w:val="20"/>
              </w:rPr>
              <w:t xml:space="preserve">The Pupil Premium funding enhances provision and it is used in addition to funds from the school’s allocated budget. </w:t>
            </w:r>
          </w:p>
          <w:p w14:paraId="6D1963C4" w14:textId="77777777" w:rsidR="000A5B9E" w:rsidRPr="000A5B9E" w:rsidRDefault="000A5B9E" w:rsidP="000A5B9E">
            <w:pPr>
              <w:suppressAutoHyphens w:val="0"/>
              <w:autoSpaceDE w:val="0"/>
              <w:adjustRightInd w:val="0"/>
              <w:spacing w:after="0" w:line="240" w:lineRule="auto"/>
              <w:rPr>
                <w:rFonts w:eastAsia="Calibri" w:cs="Arial"/>
                <w:color w:val="000000"/>
                <w:sz w:val="20"/>
                <w:szCs w:val="20"/>
              </w:rPr>
            </w:pPr>
          </w:p>
          <w:p w14:paraId="02154C38" w14:textId="77777777" w:rsidR="000A5B9E" w:rsidRPr="000A5B9E" w:rsidRDefault="000A5B9E" w:rsidP="000A5B9E">
            <w:pPr>
              <w:spacing w:after="0" w:line="240" w:lineRule="auto"/>
              <w:jc w:val="both"/>
              <w:rPr>
                <w:rFonts w:cs="Arial"/>
                <w:sz w:val="20"/>
                <w:szCs w:val="20"/>
              </w:rPr>
            </w:pPr>
            <w:r w:rsidRPr="000A5B9E">
              <w:rPr>
                <w:rFonts w:cs="Arial"/>
                <w:sz w:val="20"/>
                <w:szCs w:val="20"/>
              </w:rPr>
              <w:t>The Pupil Premium grant is allocated to children from families who are currently known to be eligible for free school meals (FSM), children who have been eligible for FSM at any point in the last 6 years (Ever6) and children who have been looked after continuously for more than six months at some point in their lives. The reason for this is that, as a group, these children have not consistently reached the standards of educational attainment or have made less progress than those in other groups within primary schools across the country.</w:t>
            </w:r>
          </w:p>
          <w:p w14:paraId="0619B71F" w14:textId="77777777" w:rsidR="000A5B9E" w:rsidRPr="000A5B9E" w:rsidRDefault="000A5B9E" w:rsidP="000A5B9E">
            <w:pPr>
              <w:spacing w:after="0" w:line="240" w:lineRule="auto"/>
              <w:jc w:val="both"/>
              <w:rPr>
                <w:rFonts w:cs="Arial"/>
                <w:sz w:val="20"/>
                <w:szCs w:val="20"/>
              </w:rPr>
            </w:pPr>
          </w:p>
          <w:p w14:paraId="2392CB46" w14:textId="77777777" w:rsidR="000A5B9E" w:rsidRPr="000A5B9E" w:rsidRDefault="000A5B9E" w:rsidP="000A5B9E">
            <w:pPr>
              <w:spacing w:after="0" w:line="240" w:lineRule="auto"/>
              <w:jc w:val="both"/>
              <w:rPr>
                <w:rFonts w:cs="Arial"/>
                <w:sz w:val="20"/>
                <w:szCs w:val="20"/>
              </w:rPr>
            </w:pPr>
            <w:r w:rsidRPr="000A5B9E">
              <w:rPr>
                <w:rFonts w:cs="Arial"/>
                <w:sz w:val="20"/>
                <w:szCs w:val="20"/>
              </w:rPr>
              <w:t xml:space="preserve">Quality first teaching is at the core of our offer and we have established a purposeful climate within our community that allows focus interventions to support daily learning. </w:t>
            </w:r>
          </w:p>
          <w:p w14:paraId="518D10F0" w14:textId="77777777" w:rsidR="000A5B9E" w:rsidRPr="000A5B9E" w:rsidRDefault="000A5B9E" w:rsidP="000A5B9E">
            <w:pPr>
              <w:spacing w:before="100" w:beforeAutospacing="1" w:after="135" w:line="240" w:lineRule="auto"/>
              <w:rPr>
                <w:rFonts w:cs="Arial"/>
                <w:sz w:val="20"/>
                <w:szCs w:val="20"/>
              </w:rPr>
            </w:pPr>
            <w:r w:rsidRPr="000A5B9E">
              <w:rPr>
                <w:rFonts w:cs="Arial"/>
                <w:sz w:val="20"/>
                <w:szCs w:val="20"/>
              </w:rPr>
              <w:t>At St Mary’s the Pupil Premium Grant will target additional support strategies resulting in every child, however disadvantaged, and being able to:</w:t>
            </w:r>
          </w:p>
          <w:p w14:paraId="2BCFB3F3" w14:textId="77777777" w:rsidR="000A5B9E" w:rsidRPr="000A5B9E" w:rsidRDefault="000A5B9E" w:rsidP="000A5B9E">
            <w:pPr>
              <w:numPr>
                <w:ilvl w:val="0"/>
                <w:numId w:val="18"/>
              </w:numPr>
              <w:suppressAutoHyphens w:val="0"/>
              <w:autoSpaceDN/>
              <w:spacing w:after="200" w:line="276" w:lineRule="auto"/>
              <w:rPr>
                <w:sz w:val="20"/>
                <w:szCs w:val="20"/>
              </w:rPr>
            </w:pPr>
            <w:r w:rsidRPr="000A5B9E">
              <w:rPr>
                <w:sz w:val="20"/>
                <w:szCs w:val="20"/>
              </w:rPr>
              <w:t>Maximise attainment and achieve their full potential.</w:t>
            </w:r>
          </w:p>
          <w:p w14:paraId="5A372A85" w14:textId="77777777" w:rsidR="000A5B9E" w:rsidRPr="000A5B9E" w:rsidRDefault="000A5B9E" w:rsidP="000A5B9E">
            <w:pPr>
              <w:numPr>
                <w:ilvl w:val="0"/>
                <w:numId w:val="18"/>
              </w:numPr>
              <w:suppressAutoHyphens w:val="0"/>
              <w:autoSpaceDN/>
              <w:spacing w:after="200" w:line="276" w:lineRule="auto"/>
              <w:rPr>
                <w:sz w:val="20"/>
                <w:szCs w:val="20"/>
              </w:rPr>
            </w:pPr>
            <w:r w:rsidRPr="000A5B9E">
              <w:rPr>
                <w:sz w:val="20"/>
                <w:szCs w:val="20"/>
              </w:rPr>
              <w:t>Have full access to the curriculum, school life and extended learning opportunities.</w:t>
            </w:r>
          </w:p>
          <w:p w14:paraId="116727D5" w14:textId="77777777" w:rsidR="000A5B9E" w:rsidRPr="000A5B9E" w:rsidRDefault="000A5B9E" w:rsidP="000A5B9E">
            <w:pPr>
              <w:numPr>
                <w:ilvl w:val="0"/>
                <w:numId w:val="18"/>
              </w:numPr>
              <w:suppressAutoHyphens w:val="0"/>
              <w:autoSpaceDN/>
              <w:spacing w:after="200" w:line="276" w:lineRule="auto"/>
              <w:rPr>
                <w:sz w:val="20"/>
                <w:szCs w:val="20"/>
              </w:rPr>
            </w:pPr>
            <w:r w:rsidRPr="000A5B9E">
              <w:rPr>
                <w:sz w:val="20"/>
                <w:szCs w:val="20"/>
              </w:rPr>
              <w:t xml:space="preserve">Access pastoral support, counselling and learning mentor support where required on a </w:t>
            </w:r>
            <w:proofErr w:type="gramStart"/>
            <w:r w:rsidRPr="000A5B9E">
              <w:rPr>
                <w:sz w:val="20"/>
                <w:szCs w:val="20"/>
              </w:rPr>
              <w:t>needs</w:t>
            </w:r>
            <w:proofErr w:type="gramEnd"/>
            <w:r w:rsidRPr="000A5B9E">
              <w:rPr>
                <w:sz w:val="20"/>
                <w:szCs w:val="20"/>
              </w:rPr>
              <w:t xml:space="preserve"> basis.</w:t>
            </w:r>
          </w:p>
          <w:p w14:paraId="3D6FBEFE" w14:textId="77777777" w:rsidR="000A5B9E" w:rsidRPr="000A5B9E" w:rsidRDefault="000A5B9E" w:rsidP="000A5B9E">
            <w:pPr>
              <w:numPr>
                <w:ilvl w:val="0"/>
                <w:numId w:val="18"/>
              </w:numPr>
              <w:suppressAutoHyphens w:val="0"/>
              <w:autoSpaceDN/>
              <w:spacing w:after="200" w:line="276" w:lineRule="auto"/>
              <w:rPr>
                <w:sz w:val="20"/>
                <w:szCs w:val="20"/>
              </w:rPr>
            </w:pPr>
            <w:r w:rsidRPr="000A5B9E">
              <w:rPr>
                <w:sz w:val="20"/>
                <w:szCs w:val="20"/>
              </w:rPr>
              <w:t>Access to extra-curricular learning, including school trips to enrich learning.</w:t>
            </w:r>
          </w:p>
          <w:p w14:paraId="2A7D54E9" w14:textId="0623BEAE" w:rsidR="00E66558" w:rsidRPr="000A5B9E" w:rsidRDefault="000A5B9E" w:rsidP="000A5B9E">
            <w:pPr>
              <w:rPr>
                <w:i/>
                <w:iCs/>
              </w:rPr>
            </w:pPr>
            <w:r w:rsidRPr="000A5B9E">
              <w:rPr>
                <w:rFonts w:cs="Arial"/>
                <w:sz w:val="20"/>
                <w:szCs w:val="20"/>
              </w:rPr>
              <w:t>The impact of the Pupil Premium spend is closely monitored and evaluated. This takes place on a termly basis through pupil progress meetings and in</w:t>
            </w:r>
            <w:r>
              <w:rPr>
                <w:rFonts w:cs="Arial"/>
                <w:sz w:val="20"/>
                <w:szCs w:val="20"/>
              </w:rPr>
              <w:t xml:space="preserve"> </w:t>
            </w:r>
            <w:r w:rsidRPr="000A5B9E">
              <w:rPr>
                <w:rFonts w:cs="Arial"/>
                <w:sz w:val="20"/>
                <w:szCs w:val="20"/>
              </w:rPr>
              <w:t>line with our whole school monitoring plan. The Pupil Premium plan is also monitored for impact at the termly Governing Board meetings.</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D0689E"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D0689E" w:rsidRDefault="00D0689E" w:rsidP="00D0689E">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D64D268" w:rsidR="00D0689E" w:rsidRDefault="00D0689E" w:rsidP="00D0689E">
            <w:pPr>
              <w:pStyle w:val="TableRowCentered"/>
              <w:ind w:left="0" w:right="0"/>
              <w:jc w:val="left"/>
            </w:pPr>
            <w:r>
              <w:rPr>
                <w:rFonts w:cs="Arial"/>
                <w:sz w:val="20"/>
              </w:rPr>
              <w:t xml:space="preserve">Maintaining </w:t>
            </w:r>
            <w:r w:rsidRPr="00C936A4">
              <w:rPr>
                <w:rFonts w:cs="Arial"/>
                <w:sz w:val="20"/>
              </w:rPr>
              <w:t>good levels of attendance and punctuality</w:t>
            </w:r>
          </w:p>
        </w:tc>
      </w:tr>
      <w:tr w:rsidR="00D0689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D0689E" w:rsidRDefault="00D0689E" w:rsidP="00D0689E">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FE8CE4D" w:rsidR="00D0689E" w:rsidRDefault="00D0689E" w:rsidP="00D0689E">
            <w:pPr>
              <w:pStyle w:val="TableRowCentered"/>
              <w:ind w:left="0" w:right="0"/>
              <w:jc w:val="left"/>
              <w:rPr>
                <w:sz w:val="22"/>
                <w:szCs w:val="22"/>
              </w:rPr>
            </w:pPr>
            <w:r w:rsidRPr="00C936A4">
              <w:rPr>
                <w:sz w:val="20"/>
              </w:rPr>
              <w:t>Low self-esteem and aspiration leading to a low level of resilience</w:t>
            </w:r>
          </w:p>
        </w:tc>
      </w:tr>
      <w:tr w:rsidR="00D0689E"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D0689E" w:rsidRDefault="00D0689E" w:rsidP="00D0689E">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13F36BE" w:rsidR="00D0689E" w:rsidRDefault="00D0689E" w:rsidP="00D0689E">
            <w:pPr>
              <w:pStyle w:val="TableRowCentered"/>
              <w:ind w:left="0" w:right="0"/>
              <w:jc w:val="left"/>
              <w:rPr>
                <w:sz w:val="22"/>
                <w:szCs w:val="22"/>
              </w:rPr>
            </w:pPr>
            <w:r w:rsidRPr="00C936A4">
              <w:rPr>
                <w:rFonts w:cs="Arial"/>
                <w:sz w:val="20"/>
              </w:rPr>
              <w:t>Delayed speech and language development</w:t>
            </w:r>
            <w:r>
              <w:rPr>
                <w:rFonts w:cs="Arial"/>
                <w:sz w:val="20"/>
              </w:rPr>
              <w:t xml:space="preserve"> </w:t>
            </w:r>
          </w:p>
        </w:tc>
      </w:tr>
      <w:tr w:rsidR="00D0689E"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D0689E" w:rsidRDefault="00D0689E" w:rsidP="00D0689E">
            <w:pPr>
              <w:pStyle w:val="TableRow"/>
              <w:ind w:left="0" w:right="0"/>
              <w:rPr>
                <w:sz w:val="22"/>
                <w:szCs w:val="22"/>
              </w:rPr>
            </w:pPr>
            <w:r>
              <w:rPr>
                <w:sz w:val="22"/>
                <w:szCs w:val="22"/>
              </w:rPr>
              <w:lastRenderedPageBreak/>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123D789" w:rsidR="00D0689E" w:rsidRDefault="00D0689E" w:rsidP="00D0689E">
            <w:pPr>
              <w:pStyle w:val="TableRowCentered"/>
              <w:ind w:left="0" w:right="0"/>
              <w:jc w:val="left"/>
              <w:rPr>
                <w:iCs/>
                <w:sz w:val="22"/>
              </w:rPr>
            </w:pPr>
            <w:r w:rsidRPr="00C936A4">
              <w:rPr>
                <w:iCs/>
                <w:sz w:val="20"/>
              </w:rPr>
              <w:t>Disadvantaged pupils also identified as having learning, social and emotional needs.</w:t>
            </w:r>
          </w:p>
        </w:tc>
      </w:tr>
      <w:tr w:rsidR="00D0689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D0689E" w:rsidRDefault="00D0689E" w:rsidP="00D0689E">
            <w:pPr>
              <w:pStyle w:val="TableRow"/>
              <w:ind w:left="0" w:right="0"/>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7108BAC" w:rsidR="00D0689E" w:rsidRDefault="00D0689E" w:rsidP="00D0689E">
            <w:pPr>
              <w:pStyle w:val="TableRowCentered"/>
              <w:ind w:left="0" w:right="0"/>
              <w:jc w:val="left"/>
              <w:rPr>
                <w:iCs/>
                <w:sz w:val="22"/>
              </w:rPr>
            </w:pPr>
            <w:r>
              <w:rPr>
                <w:rFonts w:cs="Arial"/>
                <w:sz w:val="20"/>
              </w:rPr>
              <w:t>Limited parental skills and time to support children at home</w:t>
            </w:r>
          </w:p>
        </w:tc>
      </w:tr>
      <w:tr w:rsidR="00D0689E" w14:paraId="561A485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3B57" w14:textId="3772B362" w:rsidR="00D0689E" w:rsidRDefault="00D0689E" w:rsidP="00D0689E">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44F4" w14:textId="70CB0459" w:rsidR="00D0689E" w:rsidRDefault="00D0689E" w:rsidP="00D0689E">
            <w:pPr>
              <w:pStyle w:val="TableRowCentered"/>
              <w:ind w:left="0" w:right="0"/>
              <w:jc w:val="left"/>
              <w:rPr>
                <w:iCs/>
                <w:sz w:val="22"/>
              </w:rPr>
            </w:pPr>
            <w:r w:rsidRPr="00B02D6F">
              <w:rPr>
                <w:rFonts w:cs="Arial"/>
                <w:sz w:val="20"/>
              </w:rPr>
              <w:t>Limited cultural capital: many pupils lack ‘life experience’, wider opportunities and have not visited places which stimulate creative and imaginative thinking skills</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D0689E"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761545D" w:rsidR="00D0689E" w:rsidRDefault="00D0689E" w:rsidP="00D0689E">
            <w:pPr>
              <w:pStyle w:val="TableRow"/>
              <w:ind w:left="0" w:right="0"/>
            </w:pPr>
            <w:r w:rsidRPr="00AE2088">
              <w:rPr>
                <w:rFonts w:cs="Arial"/>
                <w:sz w:val="20"/>
                <w:szCs w:val="20"/>
              </w:rPr>
              <w:t>To further reduce the % of persistent absences and improve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E29A8" w14:textId="77777777" w:rsidR="00D0689E" w:rsidRPr="00D10DFD" w:rsidRDefault="00D0689E" w:rsidP="00D0689E">
            <w:pPr>
              <w:pStyle w:val="TableRowCentered"/>
              <w:ind w:left="0"/>
              <w:jc w:val="left"/>
              <w:rPr>
                <w:sz w:val="20"/>
              </w:rPr>
            </w:pPr>
            <w:r w:rsidRPr="00D10DFD">
              <w:rPr>
                <w:sz w:val="20"/>
              </w:rPr>
              <w:t xml:space="preserve">Attendance </w:t>
            </w:r>
            <w:r>
              <w:rPr>
                <w:sz w:val="20"/>
              </w:rPr>
              <w:t xml:space="preserve">of PPG children </w:t>
            </w:r>
            <w:r w:rsidRPr="00D10DFD">
              <w:rPr>
                <w:sz w:val="20"/>
              </w:rPr>
              <w:t>is</w:t>
            </w:r>
            <w:r>
              <w:rPr>
                <w:sz w:val="20"/>
              </w:rPr>
              <w:t xml:space="preserve"> in line with or</w:t>
            </w:r>
            <w:r w:rsidRPr="00D10DFD">
              <w:rPr>
                <w:sz w:val="20"/>
              </w:rPr>
              <w:t xml:space="preserve"> above National.</w:t>
            </w:r>
          </w:p>
          <w:p w14:paraId="2A7D5505" w14:textId="5AC102DF" w:rsidR="00D0689E" w:rsidRDefault="00D0689E" w:rsidP="00D0689E">
            <w:pPr>
              <w:pStyle w:val="TableRowCentered"/>
              <w:ind w:left="0" w:right="0"/>
              <w:jc w:val="left"/>
              <w:rPr>
                <w:sz w:val="22"/>
                <w:szCs w:val="22"/>
              </w:rPr>
            </w:pPr>
            <w:r w:rsidRPr="00D10DFD">
              <w:rPr>
                <w:sz w:val="20"/>
              </w:rPr>
              <w:t>Persistent absence reduced.</w:t>
            </w:r>
          </w:p>
        </w:tc>
      </w:tr>
      <w:tr w:rsidR="00D0689E"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99813FB" w:rsidR="00D0689E" w:rsidRDefault="00D0689E" w:rsidP="00D0689E">
            <w:pPr>
              <w:pStyle w:val="TableRow"/>
              <w:ind w:left="0" w:right="0"/>
              <w:rPr>
                <w:sz w:val="22"/>
                <w:szCs w:val="22"/>
              </w:rPr>
            </w:pPr>
            <w:r>
              <w:rPr>
                <w:rFonts w:cs="Arial"/>
                <w:sz w:val="20"/>
                <w:szCs w:val="20"/>
              </w:rPr>
              <w:t>To resolve underlying SALT difficulties that prevent pupils from accessing the full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A435E66" w:rsidR="00D0689E" w:rsidRDefault="00D0689E" w:rsidP="00D0689E">
            <w:pPr>
              <w:pStyle w:val="TableRowCentered"/>
              <w:ind w:left="0" w:right="0"/>
              <w:jc w:val="left"/>
              <w:rPr>
                <w:sz w:val="22"/>
                <w:szCs w:val="22"/>
              </w:rPr>
            </w:pPr>
            <w:proofErr w:type="spellStart"/>
            <w:r>
              <w:rPr>
                <w:sz w:val="20"/>
              </w:rPr>
              <w:t>Elklan</w:t>
            </w:r>
            <w:proofErr w:type="spellEnd"/>
            <w:r>
              <w:rPr>
                <w:sz w:val="20"/>
              </w:rPr>
              <w:t xml:space="preserve"> and </w:t>
            </w:r>
            <w:proofErr w:type="spellStart"/>
            <w:r>
              <w:rPr>
                <w:sz w:val="20"/>
              </w:rPr>
              <w:t>Wellcom</w:t>
            </w:r>
            <w:proofErr w:type="spellEnd"/>
            <w:r>
              <w:rPr>
                <w:sz w:val="20"/>
              </w:rPr>
              <w:t xml:space="preserve"> assessments show no difference between PPG children and </w:t>
            </w:r>
            <w:proofErr w:type="gramStart"/>
            <w:r>
              <w:rPr>
                <w:sz w:val="20"/>
              </w:rPr>
              <w:t>non PPG</w:t>
            </w:r>
            <w:proofErr w:type="gramEnd"/>
            <w:r>
              <w:rPr>
                <w:sz w:val="20"/>
              </w:rPr>
              <w:t xml:space="preserve"> children</w:t>
            </w:r>
          </w:p>
        </w:tc>
      </w:tr>
      <w:tr w:rsidR="00D0689E"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5893D35" w:rsidR="00D0689E" w:rsidRDefault="00D0689E" w:rsidP="00D0689E">
            <w:pPr>
              <w:pStyle w:val="TableRow"/>
              <w:ind w:left="0" w:right="0"/>
              <w:rPr>
                <w:sz w:val="22"/>
                <w:szCs w:val="22"/>
              </w:rPr>
            </w:pPr>
            <w:r>
              <w:rPr>
                <w:rFonts w:cs="Arial"/>
                <w:sz w:val="20"/>
                <w:szCs w:val="20"/>
              </w:rPr>
              <w:t>To engage PPG families to understand how they can help their children in how to support their children at home particularly through reading to them and with them.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DDF0A" w14:textId="77777777" w:rsidR="00D0689E" w:rsidRDefault="00D0689E" w:rsidP="00D0689E">
            <w:pPr>
              <w:pStyle w:val="TableRowCentered"/>
              <w:ind w:left="0"/>
              <w:jc w:val="left"/>
              <w:rPr>
                <w:sz w:val="20"/>
              </w:rPr>
            </w:pPr>
            <w:r>
              <w:rPr>
                <w:sz w:val="20"/>
              </w:rPr>
              <w:t xml:space="preserve">Parental voice shows that families feel supported and know how to help their children at home. </w:t>
            </w:r>
          </w:p>
          <w:p w14:paraId="2A7D550B" w14:textId="526252BB" w:rsidR="00D0689E" w:rsidRDefault="00D0689E" w:rsidP="00D0689E">
            <w:pPr>
              <w:pStyle w:val="TableRowCentered"/>
              <w:ind w:left="0" w:right="0"/>
              <w:jc w:val="left"/>
              <w:rPr>
                <w:sz w:val="22"/>
                <w:szCs w:val="22"/>
              </w:rPr>
            </w:pPr>
            <w:r>
              <w:rPr>
                <w:sz w:val="20"/>
              </w:rPr>
              <w:t xml:space="preserve">Teachers report no difference in the amount of home support between PPG and </w:t>
            </w:r>
            <w:proofErr w:type="gramStart"/>
            <w:r>
              <w:rPr>
                <w:sz w:val="20"/>
              </w:rPr>
              <w:t>non PPG</w:t>
            </w:r>
            <w:proofErr w:type="gramEnd"/>
            <w:r>
              <w:rPr>
                <w:sz w:val="20"/>
              </w:rPr>
              <w:t xml:space="preserve"> children.</w:t>
            </w:r>
          </w:p>
        </w:tc>
      </w:tr>
      <w:tr w:rsidR="00D0689E"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10CB072" w:rsidR="00D0689E" w:rsidRDefault="00D0689E" w:rsidP="00D0689E">
            <w:pPr>
              <w:pStyle w:val="TableRow"/>
              <w:ind w:left="0" w:right="0"/>
              <w:rPr>
                <w:sz w:val="22"/>
                <w:szCs w:val="22"/>
              </w:rPr>
            </w:pPr>
            <w:r>
              <w:rPr>
                <w:rFonts w:cs="Arial"/>
                <w:sz w:val="20"/>
                <w:szCs w:val="20"/>
              </w:rPr>
              <w:t>To</w:t>
            </w:r>
            <w:r w:rsidRPr="00AE2088">
              <w:rPr>
                <w:rFonts w:cs="Arial"/>
                <w:sz w:val="20"/>
                <w:szCs w:val="20"/>
              </w:rPr>
              <w:t xml:space="preserve"> raise attainment and </w:t>
            </w:r>
            <w:r>
              <w:rPr>
                <w:rFonts w:cs="Arial"/>
                <w:sz w:val="20"/>
                <w:szCs w:val="20"/>
              </w:rPr>
              <w:t xml:space="preserve">diminish the difference </w:t>
            </w:r>
            <w:r w:rsidRPr="00AE2088">
              <w:rPr>
                <w:rFonts w:cs="Arial"/>
                <w:sz w:val="20"/>
                <w:szCs w:val="20"/>
              </w:rPr>
              <w:t>between disadvantaged pupils and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ED9B717" w:rsidR="00D0689E" w:rsidRDefault="00D0689E" w:rsidP="00D0689E">
            <w:pPr>
              <w:pStyle w:val="TableRowCentered"/>
              <w:ind w:left="0" w:right="0"/>
              <w:jc w:val="left"/>
              <w:rPr>
                <w:sz w:val="22"/>
                <w:szCs w:val="22"/>
              </w:rPr>
            </w:pPr>
            <w:r>
              <w:rPr>
                <w:sz w:val="20"/>
              </w:rPr>
              <w:t>Data analysis shows n</w:t>
            </w:r>
            <w:r w:rsidRPr="00D10DFD">
              <w:rPr>
                <w:sz w:val="20"/>
              </w:rPr>
              <w:t xml:space="preserve">o attainment gap between disadvantaged pupils and their peers. </w:t>
            </w:r>
          </w:p>
        </w:tc>
      </w:tr>
      <w:tr w:rsidR="00D0689E" w14:paraId="29B7214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327AE" w14:textId="0151D79C" w:rsidR="00D0689E" w:rsidRDefault="00D0689E" w:rsidP="00D0689E">
            <w:pPr>
              <w:pStyle w:val="TableRow"/>
              <w:ind w:left="0" w:right="0"/>
              <w:rPr>
                <w:sz w:val="22"/>
                <w:szCs w:val="22"/>
              </w:rPr>
            </w:pPr>
            <w:r w:rsidRPr="00AE2088">
              <w:rPr>
                <w:rFonts w:cs="Arial"/>
                <w:sz w:val="20"/>
                <w:szCs w:val="20"/>
              </w:rPr>
              <w:t xml:space="preserve">To address </w:t>
            </w:r>
            <w:r>
              <w:rPr>
                <w:rFonts w:cs="Arial"/>
                <w:sz w:val="20"/>
                <w:szCs w:val="20"/>
              </w:rPr>
              <w:t xml:space="preserve">identified </w:t>
            </w:r>
            <w:r w:rsidRPr="00AE2088">
              <w:rPr>
                <w:rFonts w:cs="Arial"/>
                <w:sz w:val="20"/>
                <w:szCs w:val="20"/>
              </w:rPr>
              <w:t>areas of need in disadvantaged eligible pupils so that they achieve their full potential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63A4B" w14:textId="3BC91EAA" w:rsidR="00D0689E" w:rsidRDefault="00D0689E" w:rsidP="00D0689E">
            <w:pPr>
              <w:pStyle w:val="TableRowCentered"/>
              <w:ind w:left="0" w:right="0"/>
              <w:jc w:val="left"/>
              <w:rPr>
                <w:sz w:val="22"/>
                <w:szCs w:val="22"/>
              </w:rPr>
            </w:pPr>
            <w:r w:rsidRPr="00D10DFD">
              <w:rPr>
                <w:sz w:val="20"/>
              </w:rPr>
              <w:t>Monitoring and assessments of targeted interventions show disadvantaged pupils make good progress in core subjects.</w:t>
            </w:r>
          </w:p>
        </w:tc>
      </w:tr>
      <w:tr w:rsidR="00D0689E" w14:paraId="05C861F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BA404" w14:textId="2DAA32EE" w:rsidR="00D0689E" w:rsidRDefault="00D0689E" w:rsidP="00D0689E">
            <w:pPr>
              <w:pStyle w:val="TableRow"/>
              <w:ind w:left="0" w:right="0"/>
              <w:rPr>
                <w:sz w:val="22"/>
                <w:szCs w:val="22"/>
              </w:rPr>
            </w:pPr>
            <w:r w:rsidRPr="00AE2088">
              <w:rPr>
                <w:rFonts w:cs="Arial"/>
                <w:sz w:val="20"/>
                <w:szCs w:val="20"/>
              </w:rPr>
              <w:t>To improve resilience, behaviour and attitudes to learning through coaching, mentoring and restorative approaches which will enable pupils to make the right life choices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01527" w14:textId="7570AB3A" w:rsidR="00D0689E" w:rsidRDefault="00D0689E" w:rsidP="00D0689E">
            <w:pPr>
              <w:pStyle w:val="TableRowCentered"/>
              <w:ind w:left="0" w:right="0"/>
              <w:jc w:val="left"/>
              <w:rPr>
                <w:sz w:val="22"/>
                <w:szCs w:val="22"/>
              </w:rPr>
            </w:pPr>
            <w:r>
              <w:rPr>
                <w:sz w:val="20"/>
              </w:rPr>
              <w:t>Pupil voice shows PPG chil</w:t>
            </w:r>
            <w:r w:rsidRPr="00D10DFD">
              <w:rPr>
                <w:sz w:val="20"/>
              </w:rPr>
              <w:t xml:space="preserve">dren </w:t>
            </w:r>
            <w:r>
              <w:rPr>
                <w:sz w:val="20"/>
              </w:rPr>
              <w:t xml:space="preserve">are </w:t>
            </w:r>
            <w:r w:rsidRPr="00D10DFD">
              <w:rPr>
                <w:sz w:val="20"/>
              </w:rPr>
              <w:t xml:space="preserve">able to articulate how and why they have made life choices.  </w:t>
            </w:r>
            <w:r>
              <w:rPr>
                <w:sz w:val="20"/>
              </w:rPr>
              <w:t xml:space="preserve">CPOMS monitoring shows no difference in the number or severity of incidents between PPG and </w:t>
            </w:r>
            <w:proofErr w:type="gramStart"/>
            <w:r>
              <w:rPr>
                <w:sz w:val="20"/>
              </w:rPr>
              <w:t>non PPG</w:t>
            </w:r>
            <w:proofErr w:type="gramEnd"/>
            <w:r>
              <w:rPr>
                <w:sz w:val="20"/>
              </w:rPr>
              <w:t xml:space="preserve"> children. </w:t>
            </w:r>
            <w:r w:rsidRPr="00D10DFD">
              <w:rPr>
                <w:sz w:val="20"/>
              </w:rPr>
              <w:t>School community is calm and</w:t>
            </w:r>
            <w:r>
              <w:rPr>
                <w:sz w:val="20"/>
              </w:rPr>
              <w:t xml:space="preserve"> purposeful on a daily basis.  C</w:t>
            </w:r>
            <w:r w:rsidRPr="00D10DFD">
              <w:rPr>
                <w:sz w:val="20"/>
              </w:rPr>
              <w:t xml:space="preserve">hildren behave respectfully and they persevere in their learning.  </w:t>
            </w:r>
          </w:p>
        </w:tc>
      </w:tr>
      <w:tr w:rsidR="00D0689E" w14:paraId="3534367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5B6F2" w14:textId="77777777" w:rsidR="00D0689E" w:rsidRPr="00AE2088" w:rsidRDefault="00D0689E" w:rsidP="00D0689E">
            <w:pPr>
              <w:spacing w:after="0" w:line="240" w:lineRule="auto"/>
              <w:rPr>
                <w:rFonts w:cs="Arial"/>
                <w:sz w:val="20"/>
                <w:szCs w:val="20"/>
              </w:rPr>
            </w:pPr>
            <w:r w:rsidRPr="00AE2088">
              <w:rPr>
                <w:rFonts w:cs="Arial"/>
                <w:sz w:val="20"/>
                <w:szCs w:val="20"/>
              </w:rPr>
              <w:t xml:space="preserve">To </w:t>
            </w:r>
            <w:r>
              <w:rPr>
                <w:rFonts w:cs="Arial"/>
                <w:sz w:val="20"/>
                <w:szCs w:val="20"/>
              </w:rPr>
              <w:t>increase cultural capital and life experiences for PPG children to widen their knowledge and understanding of the world.</w:t>
            </w:r>
          </w:p>
          <w:p w14:paraId="787B7D3B" w14:textId="77777777" w:rsidR="00D0689E" w:rsidRDefault="00D0689E" w:rsidP="00D0689E">
            <w:pPr>
              <w:pStyle w:val="TableRow"/>
              <w:ind w:left="0" w:right="0"/>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03313" w14:textId="1F284AE4" w:rsidR="00D0689E" w:rsidRDefault="00D0689E" w:rsidP="00D0689E">
            <w:pPr>
              <w:pStyle w:val="TableRowCentered"/>
              <w:ind w:left="0" w:right="0"/>
              <w:jc w:val="left"/>
              <w:rPr>
                <w:sz w:val="22"/>
                <w:szCs w:val="22"/>
              </w:rPr>
            </w:pPr>
            <w:r w:rsidRPr="00683E41">
              <w:rPr>
                <w:sz w:val="20"/>
              </w:rPr>
              <w:t xml:space="preserve">Pupil voice surveys and attainment and </w:t>
            </w:r>
            <w:r>
              <w:rPr>
                <w:sz w:val="20"/>
              </w:rPr>
              <w:t xml:space="preserve">assessment </w:t>
            </w:r>
            <w:r w:rsidRPr="00683E41">
              <w:rPr>
                <w:sz w:val="20"/>
              </w:rPr>
              <w:t>data</w:t>
            </w:r>
            <w:r>
              <w:rPr>
                <w:sz w:val="20"/>
              </w:rPr>
              <w:t xml:space="preserve"> </w:t>
            </w:r>
            <w:r w:rsidRPr="00683E41">
              <w:rPr>
                <w:sz w:val="20"/>
              </w:rPr>
              <w:t>indicates that children in receipt of PPG have an increased and cultural awareness/knowledge</w:t>
            </w:r>
            <w:r>
              <w:rPr>
                <w:sz w:val="20"/>
              </w:rPr>
              <w:t>.</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lastRenderedPageBreak/>
        <w:t>Teaching (for example, CPD, recruitment and retention)</w:t>
      </w:r>
    </w:p>
    <w:p w14:paraId="2A7D5515" w14:textId="208BF470" w:rsidR="00E66558" w:rsidRDefault="009D71E8">
      <w:r>
        <w:t xml:space="preserve">Budgeted cost: £ </w:t>
      </w:r>
      <w:r w:rsidR="00632BB3">
        <w:rPr>
          <w:i/>
          <w:iCs/>
        </w:rPr>
        <w:t>14102.50</w:t>
      </w:r>
    </w:p>
    <w:tbl>
      <w:tblPr>
        <w:tblW w:w="5000" w:type="pct"/>
        <w:tblCellMar>
          <w:left w:w="10" w:type="dxa"/>
          <w:right w:w="10" w:type="dxa"/>
        </w:tblCellMar>
        <w:tblLook w:val="04A0" w:firstRow="1" w:lastRow="0" w:firstColumn="1" w:lastColumn="0" w:noHBand="0" w:noVBand="1"/>
      </w:tblPr>
      <w:tblGrid>
        <w:gridCol w:w="2199"/>
        <w:gridCol w:w="5253"/>
        <w:gridCol w:w="203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603C63"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F6C2" w14:textId="77777777" w:rsidR="00603C63" w:rsidRPr="00B34ABB" w:rsidRDefault="00603C63" w:rsidP="00603C63">
            <w:pPr>
              <w:suppressAutoHyphens w:val="0"/>
              <w:autoSpaceDN/>
              <w:spacing w:before="100" w:beforeAutospacing="1" w:after="135" w:line="240" w:lineRule="auto"/>
              <w:rPr>
                <w:rFonts w:cs="Arial"/>
                <w:sz w:val="20"/>
                <w:szCs w:val="20"/>
              </w:rPr>
            </w:pPr>
            <w:r w:rsidRPr="00B34ABB">
              <w:rPr>
                <w:rFonts w:cs="Arial"/>
                <w:sz w:val="20"/>
                <w:szCs w:val="20"/>
              </w:rPr>
              <w:t>Continuing Professional Development (CPD) / Empowerment for teachers and TAs across school - All staff engagement in CPD to support Quality First Teaching</w:t>
            </w:r>
          </w:p>
          <w:p w14:paraId="21805B7D" w14:textId="544284EE" w:rsidR="00603C63" w:rsidRDefault="00603C63" w:rsidP="00603C63">
            <w:pPr>
              <w:suppressAutoHyphens w:val="0"/>
              <w:autoSpaceDN/>
              <w:spacing w:before="100" w:beforeAutospacing="1" w:after="135" w:line="240" w:lineRule="auto"/>
              <w:rPr>
                <w:rFonts w:cs="Arial"/>
                <w:sz w:val="20"/>
                <w:szCs w:val="20"/>
              </w:rPr>
            </w:pPr>
          </w:p>
          <w:p w14:paraId="2A7D551A" w14:textId="0A33A917" w:rsidR="00603C63" w:rsidRDefault="00603C63" w:rsidP="001E1467">
            <w:pPr>
              <w:suppressAutoHyphens w:val="0"/>
              <w:autoSpaceDN/>
              <w:spacing w:before="100" w:beforeAutospacing="1" w:after="135" w:line="240" w:lineRule="auto"/>
            </w:pPr>
            <w:bookmarkStart w:id="17" w:name="_GoBack"/>
            <w:bookmarkEnd w:id="17"/>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BC194" w14:textId="77777777" w:rsidR="00603C63" w:rsidRPr="00554D8E" w:rsidRDefault="00603C63" w:rsidP="00603C63">
            <w:pPr>
              <w:rPr>
                <w:sz w:val="20"/>
                <w:szCs w:val="20"/>
              </w:rPr>
            </w:pPr>
            <w:r w:rsidRPr="00554D8E">
              <w:rPr>
                <w:sz w:val="20"/>
                <w:szCs w:val="20"/>
              </w:rPr>
              <w:t xml:space="preserve">The best available evidence indicates that great teaching is the most important lever schools have to improve outcomes for their pupils. </w:t>
            </w:r>
            <w:hyperlink r:id="rId8" w:history="1">
              <w:r w:rsidRPr="00554D8E">
                <w:rPr>
                  <w:rStyle w:val="Hyperlink"/>
                  <w:sz w:val="20"/>
                  <w:szCs w:val="20"/>
                </w:rPr>
                <w:t>https://educationendowmentfoundation.org.uk/support-for-schools/school-planning-support/1-high-quality-teaching</w:t>
              </w:r>
            </w:hyperlink>
            <w:r w:rsidRPr="00554D8E">
              <w:rPr>
                <w:sz w:val="20"/>
                <w:szCs w:val="20"/>
              </w:rPr>
              <w:t xml:space="preserve"> </w:t>
            </w:r>
          </w:p>
          <w:p w14:paraId="32AE0403" w14:textId="77777777" w:rsidR="00603C63" w:rsidRPr="00554D8E" w:rsidRDefault="00603C63" w:rsidP="00603C63">
            <w:pPr>
              <w:rPr>
                <w:sz w:val="20"/>
                <w:szCs w:val="20"/>
              </w:rPr>
            </w:pPr>
            <w:r w:rsidRPr="00554D8E">
              <w:rPr>
                <w:sz w:val="20"/>
                <w:szCs w:val="20"/>
              </w:rPr>
              <w:t xml:space="preserve">EEF guidance on ‘Making the list of Teaching Assistants.’ </w:t>
            </w:r>
            <w:hyperlink r:id="rId9" w:history="1">
              <w:r w:rsidRPr="00554D8E">
                <w:rPr>
                  <w:rStyle w:val="Hyperlink"/>
                  <w:sz w:val="20"/>
                  <w:szCs w:val="20"/>
                </w:rPr>
                <w:t>https://educationendowment</w:t>
              </w:r>
            </w:hyperlink>
            <w:r w:rsidRPr="00554D8E">
              <w:rPr>
                <w:sz w:val="20"/>
                <w:szCs w:val="20"/>
              </w:rPr>
              <w:t xml:space="preserve"> </w:t>
            </w:r>
            <w:r w:rsidRPr="00554D8E">
              <w:rPr>
                <w:color w:val="030119"/>
                <w:sz w:val="20"/>
                <w:szCs w:val="20"/>
                <w:u w:val="single"/>
              </w:rPr>
              <w:t>foundation.org.uk/education-evidence/guidance-reports/teaching-assistants</w:t>
            </w:r>
          </w:p>
          <w:p w14:paraId="58DCB83C" w14:textId="77777777" w:rsidR="00603C63" w:rsidRPr="00554D8E" w:rsidRDefault="00603C63" w:rsidP="00603C63">
            <w:pPr>
              <w:rPr>
                <w:sz w:val="20"/>
                <w:szCs w:val="20"/>
              </w:rPr>
            </w:pPr>
            <w:r w:rsidRPr="00554D8E">
              <w:rPr>
                <w:sz w:val="20"/>
                <w:szCs w:val="20"/>
              </w:rPr>
              <w:t>EEF blog (</w:t>
            </w:r>
            <w:hyperlink r:id="rId10" w:history="1">
              <w:r w:rsidRPr="00554D8E">
                <w:rPr>
                  <w:rStyle w:val="Hyperlink"/>
                  <w:sz w:val="20"/>
                  <w:szCs w:val="20"/>
                </w:rPr>
                <w:t>EEF blog: Moving from ​‘differentiation’ to ​‘adaptive teaching’ | EEF (educationendowmentfoundation.org.uk)</w:t>
              </w:r>
            </w:hyperlink>
            <w:r w:rsidRPr="00554D8E">
              <w:rPr>
                <w:sz w:val="20"/>
                <w:szCs w:val="20"/>
              </w:rPr>
              <w:t>)</w:t>
            </w:r>
          </w:p>
          <w:tbl>
            <w:tblPr>
              <w:tblW w:w="0" w:type="auto"/>
              <w:tblBorders>
                <w:top w:val="nil"/>
                <w:left w:val="nil"/>
                <w:bottom w:val="nil"/>
                <w:right w:val="nil"/>
              </w:tblBorders>
              <w:tblLook w:val="0000" w:firstRow="0" w:lastRow="0" w:firstColumn="0" w:lastColumn="0" w:noHBand="0" w:noVBand="0"/>
            </w:tblPr>
            <w:tblGrid>
              <w:gridCol w:w="5037"/>
            </w:tblGrid>
            <w:tr w:rsidR="00603C63" w:rsidRPr="00554D8E" w14:paraId="54622D92" w14:textId="77777777" w:rsidTr="00C6721F">
              <w:trPr>
                <w:trHeight w:val="1820"/>
              </w:trPr>
              <w:tc>
                <w:tcPr>
                  <w:tcW w:w="0" w:type="auto"/>
                </w:tcPr>
                <w:p w14:paraId="2694CB23" w14:textId="77777777" w:rsidR="00603C63" w:rsidRPr="00554D8E" w:rsidRDefault="00603C63" w:rsidP="00603C63">
                  <w:pPr>
                    <w:suppressAutoHyphens w:val="0"/>
                    <w:autoSpaceDE w:val="0"/>
                    <w:adjustRightInd w:val="0"/>
                    <w:spacing w:after="0" w:line="240" w:lineRule="auto"/>
                    <w:rPr>
                      <w:rFonts w:cs="Arial"/>
                      <w:color w:val="000000"/>
                      <w:sz w:val="20"/>
                      <w:szCs w:val="20"/>
                    </w:rPr>
                  </w:pPr>
                  <w:r w:rsidRPr="00554D8E">
                    <w:rPr>
                      <w:rFonts w:cs="Arial"/>
                      <w:color w:val="000000"/>
                      <w:sz w:val="20"/>
                      <w:szCs w:val="20"/>
                    </w:rPr>
                    <w:t xml:space="preserve">Evidence from Education Endowment Foundation (EEF) – Maximising Learning </w:t>
                  </w:r>
                </w:p>
                <w:p w14:paraId="3541C26D" w14:textId="77777777" w:rsidR="00603C63" w:rsidRPr="00554D8E" w:rsidRDefault="00603C63" w:rsidP="00603C63">
                  <w:pPr>
                    <w:suppressAutoHyphens w:val="0"/>
                    <w:autoSpaceDE w:val="0"/>
                    <w:adjustRightInd w:val="0"/>
                    <w:spacing w:after="0" w:line="240" w:lineRule="auto"/>
                    <w:rPr>
                      <w:rFonts w:cs="Arial"/>
                      <w:color w:val="000000"/>
                      <w:sz w:val="20"/>
                      <w:szCs w:val="20"/>
                    </w:rPr>
                  </w:pPr>
                </w:p>
                <w:p w14:paraId="36CC98BB" w14:textId="77777777" w:rsidR="00603C63" w:rsidRPr="00554D8E" w:rsidRDefault="00603C63" w:rsidP="00603C63">
                  <w:pPr>
                    <w:suppressAutoHyphens w:val="0"/>
                    <w:autoSpaceDE w:val="0"/>
                    <w:adjustRightInd w:val="0"/>
                    <w:spacing w:after="0" w:line="240" w:lineRule="auto"/>
                    <w:rPr>
                      <w:rFonts w:cs="Arial"/>
                      <w:color w:val="000000"/>
                      <w:sz w:val="20"/>
                      <w:szCs w:val="20"/>
                    </w:rPr>
                  </w:pPr>
                  <w:r w:rsidRPr="00554D8E">
                    <w:rPr>
                      <w:rFonts w:cs="Arial"/>
                      <w:color w:val="000000"/>
                      <w:sz w:val="20"/>
                      <w:szCs w:val="20"/>
                    </w:rPr>
                    <w:t xml:space="preserve">EEF research suggests a high impact for a very low cost of metacognition and </w:t>
                  </w:r>
                  <w:proofErr w:type="spellStart"/>
                  <w:r w:rsidRPr="00554D8E">
                    <w:rPr>
                      <w:rFonts w:cs="Arial"/>
                      <w:color w:val="000000"/>
                      <w:sz w:val="20"/>
                      <w:szCs w:val="20"/>
                    </w:rPr>
                    <w:t>self regulation</w:t>
                  </w:r>
                  <w:proofErr w:type="spellEnd"/>
                </w:p>
                <w:p w14:paraId="620BFC32" w14:textId="77777777" w:rsidR="00603C63" w:rsidRPr="00554D8E" w:rsidRDefault="001E1467" w:rsidP="00603C63">
                  <w:pPr>
                    <w:suppressAutoHyphens w:val="0"/>
                    <w:autoSpaceDE w:val="0"/>
                    <w:adjustRightInd w:val="0"/>
                    <w:spacing w:after="0" w:line="240" w:lineRule="auto"/>
                    <w:rPr>
                      <w:rFonts w:cs="Arial"/>
                      <w:color w:val="000000"/>
                      <w:sz w:val="20"/>
                      <w:szCs w:val="20"/>
                    </w:rPr>
                  </w:pPr>
                  <w:hyperlink r:id="rId11" w:history="1">
                    <w:r w:rsidR="00603C63" w:rsidRPr="00554D8E">
                      <w:rPr>
                        <w:rStyle w:val="Hyperlink"/>
                        <w:rFonts w:cs="Arial"/>
                        <w:sz w:val="20"/>
                        <w:szCs w:val="20"/>
                      </w:rPr>
                      <w:t>https://educationendowmentfoundation.org.uk/education-evidence/teaching-learning-toolkit/metacognition-and-self-regulation</w:t>
                    </w:r>
                  </w:hyperlink>
                  <w:r w:rsidR="00603C63" w:rsidRPr="00554D8E">
                    <w:rPr>
                      <w:rFonts w:cs="Arial"/>
                      <w:color w:val="000000"/>
                      <w:sz w:val="20"/>
                      <w:szCs w:val="20"/>
                    </w:rPr>
                    <w:t xml:space="preserve"> </w:t>
                  </w:r>
                </w:p>
                <w:p w14:paraId="00D70833" w14:textId="77777777" w:rsidR="00603C63" w:rsidRPr="00554D8E" w:rsidRDefault="00603C63" w:rsidP="00603C63">
                  <w:pPr>
                    <w:suppressAutoHyphens w:val="0"/>
                    <w:autoSpaceDE w:val="0"/>
                    <w:adjustRightInd w:val="0"/>
                    <w:spacing w:after="0" w:line="240" w:lineRule="auto"/>
                    <w:rPr>
                      <w:rFonts w:cs="Arial"/>
                      <w:color w:val="000000"/>
                      <w:sz w:val="20"/>
                      <w:szCs w:val="20"/>
                    </w:rPr>
                  </w:pPr>
                </w:p>
              </w:tc>
            </w:tr>
          </w:tbl>
          <w:p w14:paraId="2A7D551B" w14:textId="77777777" w:rsidR="00603C63" w:rsidRDefault="00603C63" w:rsidP="00603C63">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DCCB" w14:textId="2BF29E71" w:rsidR="00603C63" w:rsidRPr="00B34ABB" w:rsidRDefault="00603C63" w:rsidP="00603C63">
            <w:pPr>
              <w:suppressAutoHyphens w:val="0"/>
              <w:autoSpaceDN/>
              <w:spacing w:before="100" w:beforeAutospacing="1" w:after="135" w:line="240" w:lineRule="auto"/>
              <w:rPr>
                <w:rFonts w:cs="Arial"/>
                <w:sz w:val="20"/>
                <w:szCs w:val="20"/>
              </w:rPr>
            </w:pPr>
            <w:r>
              <w:rPr>
                <w:rFonts w:cs="Arial"/>
                <w:sz w:val="20"/>
                <w:szCs w:val="20"/>
              </w:rPr>
              <w:t>4</w:t>
            </w:r>
          </w:p>
          <w:p w14:paraId="2A7D551C" w14:textId="77777777" w:rsidR="00603C63" w:rsidRDefault="00603C63" w:rsidP="00603C63">
            <w:pPr>
              <w:suppressAutoHyphens w:val="0"/>
              <w:autoSpaceDN/>
              <w:spacing w:before="100" w:beforeAutospacing="1" w:after="135" w:line="240" w:lineRule="auto"/>
              <w:rPr>
                <w:sz w:val="22"/>
              </w:rPr>
            </w:pPr>
          </w:p>
        </w:tc>
      </w:tr>
      <w:tr w:rsidR="00603C63"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17D9" w14:textId="45F024F6" w:rsidR="00603C63" w:rsidRDefault="00603C63" w:rsidP="00603C63">
            <w:pPr>
              <w:pStyle w:val="TableRow"/>
              <w:rPr>
                <w:rFonts w:cs="Arial"/>
                <w:sz w:val="20"/>
                <w:szCs w:val="20"/>
              </w:rPr>
            </w:pPr>
            <w:r w:rsidRPr="00B34ABB">
              <w:rPr>
                <w:rFonts w:cs="Arial"/>
                <w:sz w:val="20"/>
                <w:szCs w:val="20"/>
              </w:rPr>
              <w:t xml:space="preserve">Andrew Rhodes supporting and developing </w:t>
            </w:r>
            <w:r w:rsidRPr="00BB3420">
              <w:rPr>
                <w:rFonts w:cs="Arial"/>
                <w:sz w:val="20"/>
                <w:szCs w:val="20"/>
              </w:rPr>
              <w:t xml:space="preserve">instructional coaching </w:t>
            </w:r>
            <w:r w:rsidR="00BB3420">
              <w:rPr>
                <w:rFonts w:cs="Arial"/>
                <w:sz w:val="20"/>
                <w:szCs w:val="20"/>
              </w:rPr>
              <w:t xml:space="preserve">using </w:t>
            </w:r>
            <w:proofErr w:type="spellStart"/>
            <w:r w:rsidR="00BB3420">
              <w:rPr>
                <w:rFonts w:cs="Arial"/>
                <w:sz w:val="20"/>
                <w:szCs w:val="20"/>
              </w:rPr>
              <w:t>walkthrus</w:t>
            </w:r>
            <w:proofErr w:type="spellEnd"/>
            <w:r w:rsidR="00BB3420">
              <w:rPr>
                <w:rFonts w:cs="Arial"/>
                <w:sz w:val="20"/>
                <w:szCs w:val="20"/>
              </w:rPr>
              <w:t xml:space="preserve">, developing subject leadership </w:t>
            </w:r>
            <w:r w:rsidR="00BB3420" w:rsidRPr="00BB3420">
              <w:rPr>
                <w:rFonts w:cs="Arial"/>
                <w:sz w:val="20"/>
                <w:szCs w:val="20"/>
              </w:rPr>
              <w:t>and MITA training</w:t>
            </w:r>
          </w:p>
          <w:p w14:paraId="6E4ED504" w14:textId="77777777" w:rsidR="00603C63" w:rsidRDefault="00603C63" w:rsidP="00603C63">
            <w:pPr>
              <w:pStyle w:val="TableRow"/>
              <w:rPr>
                <w:rFonts w:cs="Arial"/>
                <w:sz w:val="20"/>
                <w:szCs w:val="20"/>
              </w:rPr>
            </w:pPr>
          </w:p>
          <w:p w14:paraId="2A7D551E" w14:textId="18236501" w:rsidR="00603C63" w:rsidRDefault="00603C63" w:rsidP="00603C63">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14B17" w14:textId="77777777" w:rsidR="00603C63" w:rsidRPr="00554D8E" w:rsidRDefault="00603C63" w:rsidP="00603C63">
            <w:pPr>
              <w:pStyle w:val="TableRowCentered"/>
              <w:jc w:val="left"/>
              <w:rPr>
                <w:rFonts w:cs="Arial"/>
                <w:sz w:val="20"/>
              </w:rPr>
            </w:pPr>
            <w:r w:rsidRPr="00554D8E">
              <w:rPr>
                <w:rFonts w:cs="Arial"/>
                <w:sz w:val="20"/>
              </w:rPr>
              <w:t>Ofsted framework on the importance of effective curriculum design</w:t>
            </w:r>
          </w:p>
          <w:p w14:paraId="4B5A75D7" w14:textId="77777777" w:rsidR="00603C63" w:rsidRPr="00554D8E" w:rsidRDefault="00603C63" w:rsidP="00603C63">
            <w:pPr>
              <w:pStyle w:val="TableRowCentered"/>
              <w:jc w:val="left"/>
              <w:rPr>
                <w:rFonts w:cs="Arial"/>
                <w:sz w:val="20"/>
              </w:rPr>
            </w:pPr>
          </w:p>
          <w:p w14:paraId="686793B1" w14:textId="77777777" w:rsidR="00603C63" w:rsidRPr="00554D8E" w:rsidRDefault="00603C63" w:rsidP="00603C63">
            <w:pPr>
              <w:pStyle w:val="TableRowCentered"/>
              <w:jc w:val="left"/>
              <w:rPr>
                <w:rFonts w:cs="Arial"/>
                <w:sz w:val="20"/>
              </w:rPr>
            </w:pPr>
            <w:r w:rsidRPr="00554D8E">
              <w:rPr>
                <w:rFonts w:cs="Arial"/>
                <w:sz w:val="20"/>
              </w:rPr>
              <w:t>EEF research on effective CPD</w:t>
            </w:r>
          </w:p>
          <w:p w14:paraId="6899DE4A" w14:textId="77777777" w:rsidR="00603C63" w:rsidRDefault="001E1467" w:rsidP="00603C63">
            <w:pPr>
              <w:pStyle w:val="TableRowCentered"/>
              <w:jc w:val="left"/>
              <w:rPr>
                <w:rFonts w:cs="Arial"/>
                <w:sz w:val="20"/>
              </w:rPr>
            </w:pPr>
            <w:hyperlink r:id="rId12" w:history="1">
              <w:r w:rsidR="00603C63" w:rsidRPr="00554D8E">
                <w:rPr>
                  <w:rStyle w:val="Hyperlink"/>
                  <w:rFonts w:cs="Arial"/>
                  <w:sz w:val="20"/>
                </w:rPr>
                <w:t>https://d2tic4wvo1iusb.cloudfront.net/eef-guidance-reports/effective-professional-development/EEF-Effective-Professional-Development-Guidance-Report.pdf</w:t>
              </w:r>
            </w:hyperlink>
            <w:r w:rsidR="00603C63" w:rsidRPr="00554D8E">
              <w:rPr>
                <w:rFonts w:cs="Arial"/>
                <w:sz w:val="20"/>
              </w:rPr>
              <w:t xml:space="preserve"> </w:t>
            </w:r>
          </w:p>
          <w:p w14:paraId="71F1B9C9" w14:textId="77777777" w:rsidR="00603C63" w:rsidRDefault="00603C63" w:rsidP="00603C63">
            <w:pPr>
              <w:pStyle w:val="TableRowCentered"/>
              <w:jc w:val="left"/>
              <w:rPr>
                <w:rFonts w:cs="Arial"/>
                <w:sz w:val="20"/>
              </w:rPr>
            </w:pPr>
          </w:p>
          <w:p w14:paraId="61714C5A" w14:textId="77777777" w:rsidR="00603C63" w:rsidRDefault="00603C63" w:rsidP="00603C63">
            <w:pPr>
              <w:pStyle w:val="TableRowCentered"/>
              <w:jc w:val="left"/>
              <w:rPr>
                <w:rFonts w:cs="Arial"/>
                <w:sz w:val="20"/>
              </w:rPr>
            </w:pPr>
            <w:r>
              <w:rPr>
                <w:rFonts w:cs="Arial"/>
                <w:sz w:val="20"/>
              </w:rPr>
              <w:t>EEF research on the high impact of metacognition and self-regulation</w:t>
            </w:r>
          </w:p>
          <w:p w14:paraId="2A7D551F" w14:textId="528B0E1B" w:rsidR="00603C63" w:rsidRDefault="001E1467" w:rsidP="00603C63">
            <w:pPr>
              <w:pStyle w:val="TableRowCentered"/>
              <w:ind w:left="0" w:right="0"/>
              <w:jc w:val="left"/>
              <w:rPr>
                <w:sz w:val="22"/>
              </w:rPr>
            </w:pPr>
            <w:hyperlink r:id="rId13" w:history="1">
              <w:r w:rsidR="00603C63" w:rsidRPr="008A3112">
                <w:rPr>
                  <w:rStyle w:val="Hyperlink"/>
                  <w:rFonts w:cs="Arial"/>
                  <w:sz w:val="20"/>
                </w:rPr>
                <w:t>https://educationendowmentfoundation.org.uk/education-evidence/teaching-learning-toolkit/metacognition-and-self</w:t>
              </w:r>
              <w:r w:rsidR="00603C63" w:rsidRPr="008A3112">
                <w:rPr>
                  <w:rFonts w:cs="Arial"/>
                  <w:sz w:val="20"/>
                </w:rPr>
                <w:t>-</w:t>
              </w:r>
              <w:r w:rsidR="00603C63" w:rsidRPr="008A3112">
                <w:rPr>
                  <w:rStyle w:val="Hyperlink"/>
                  <w:rFonts w:cs="Arial"/>
                  <w:sz w:val="20"/>
                </w:rPr>
                <w:t>regulation</w:t>
              </w:r>
            </w:hyperlink>
            <w:r w:rsidR="00603C63">
              <w:rPr>
                <w:rFonts w:cs="Arial"/>
                <w:sz w:val="20"/>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674951D9" w:rsidR="00603C63" w:rsidRDefault="00603C63" w:rsidP="00603C63">
            <w:pPr>
              <w:pStyle w:val="TableRowCentered"/>
              <w:ind w:left="0" w:right="0"/>
              <w:jc w:val="left"/>
              <w:rPr>
                <w:sz w:val="22"/>
              </w:rPr>
            </w:pPr>
            <w:r>
              <w:rPr>
                <w:sz w:val="22"/>
              </w:rPr>
              <w:t>2, 6</w:t>
            </w:r>
          </w:p>
        </w:tc>
      </w:tr>
      <w:tr w:rsidR="00603C63" w14:paraId="0A993C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913DA" w14:textId="77777777" w:rsidR="00603C63" w:rsidRDefault="00603C63" w:rsidP="00603C63">
            <w:pPr>
              <w:suppressAutoHyphens w:val="0"/>
              <w:autoSpaceDN/>
              <w:spacing w:before="100" w:beforeAutospacing="1" w:after="135" w:line="240" w:lineRule="auto"/>
              <w:rPr>
                <w:rFonts w:cs="Arial"/>
                <w:sz w:val="20"/>
                <w:szCs w:val="20"/>
              </w:rPr>
            </w:pPr>
            <w:r>
              <w:rPr>
                <w:rFonts w:cs="Arial"/>
                <w:sz w:val="20"/>
                <w:szCs w:val="20"/>
              </w:rPr>
              <w:t>Employment of SALT specialist.</w:t>
            </w:r>
          </w:p>
          <w:p w14:paraId="606B5734" w14:textId="77777777" w:rsidR="00603C63" w:rsidRDefault="00603C63" w:rsidP="00603C63">
            <w:pPr>
              <w:pStyle w:val="TableRow"/>
              <w:rPr>
                <w:rFonts w:cs="Arial"/>
                <w:sz w:val="20"/>
                <w:szCs w:val="20"/>
              </w:rPr>
            </w:pPr>
            <w:r>
              <w:rPr>
                <w:rFonts w:cs="Arial"/>
                <w:sz w:val="20"/>
                <w:szCs w:val="20"/>
              </w:rPr>
              <w:t xml:space="preserve">Identification of vulnerable pupils and training for staff to implement SALT programmes and recommended strategies. </w:t>
            </w:r>
          </w:p>
          <w:p w14:paraId="42D9DC71" w14:textId="4EB1DACA" w:rsidR="00603C63" w:rsidRDefault="00603C63" w:rsidP="00603C63">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4769" w14:textId="77777777" w:rsidR="00603C63" w:rsidRPr="00554D8E" w:rsidRDefault="00603C63" w:rsidP="00603C63">
            <w:pPr>
              <w:pStyle w:val="TableRowCentered"/>
              <w:jc w:val="left"/>
              <w:rPr>
                <w:rFonts w:cs="Arial"/>
                <w:sz w:val="20"/>
              </w:rPr>
            </w:pPr>
          </w:p>
          <w:p w14:paraId="3B754077" w14:textId="77777777" w:rsidR="00603C63" w:rsidRPr="00554D8E" w:rsidRDefault="00603C63" w:rsidP="00603C63">
            <w:pPr>
              <w:pStyle w:val="TableRowCentered"/>
              <w:jc w:val="left"/>
              <w:rPr>
                <w:rFonts w:cs="Arial"/>
                <w:sz w:val="20"/>
              </w:rPr>
            </w:pPr>
            <w:r w:rsidRPr="00554D8E">
              <w:rPr>
                <w:rFonts w:cs="Arial"/>
                <w:sz w:val="20"/>
              </w:rPr>
              <w:t>Qualified SALT Specialist, quality assured by NHS.</w:t>
            </w:r>
          </w:p>
          <w:p w14:paraId="1C36ED59" w14:textId="77777777" w:rsidR="00603C63" w:rsidRPr="00554D8E" w:rsidRDefault="00603C63" w:rsidP="00603C63">
            <w:pPr>
              <w:pStyle w:val="TableRowCentered"/>
              <w:ind w:left="0"/>
              <w:jc w:val="left"/>
              <w:rPr>
                <w:rFonts w:cs="Arial"/>
                <w:sz w:val="20"/>
              </w:rPr>
            </w:pPr>
          </w:p>
          <w:p w14:paraId="023C3A31" w14:textId="77777777" w:rsidR="00603C63" w:rsidRPr="00554D8E" w:rsidRDefault="00603C63" w:rsidP="00603C63">
            <w:pPr>
              <w:pStyle w:val="TableRowCentered"/>
              <w:jc w:val="left"/>
              <w:rPr>
                <w:rFonts w:cs="Arial"/>
                <w:color w:val="auto"/>
                <w:sz w:val="20"/>
              </w:rPr>
            </w:pPr>
            <w:r w:rsidRPr="00554D8E">
              <w:rPr>
                <w:rFonts w:cs="Arial"/>
                <w:color w:val="auto"/>
                <w:sz w:val="20"/>
              </w:rPr>
              <w:t>Oral language interventions can have a positive impact on pupils’ language skills. Approaches that focus on speaking, listening and a combination of the two show positive impacts on attainment:</w:t>
            </w:r>
          </w:p>
          <w:p w14:paraId="5B910885" w14:textId="77777777" w:rsidR="00603C63" w:rsidRPr="00554D8E" w:rsidRDefault="001E1467" w:rsidP="00603C63">
            <w:pPr>
              <w:pStyle w:val="TableRowCentered"/>
              <w:spacing w:after="120"/>
              <w:jc w:val="left"/>
              <w:rPr>
                <w:rStyle w:val="Hyperlink"/>
                <w:iCs/>
                <w:sz w:val="20"/>
                <w:lang w:val="en-US"/>
              </w:rPr>
            </w:pPr>
            <w:hyperlink r:id="rId14" w:history="1">
              <w:r w:rsidR="00603C63" w:rsidRPr="00554D8E">
                <w:rPr>
                  <w:rStyle w:val="Hyperlink"/>
                  <w:iCs/>
                  <w:sz w:val="20"/>
                  <w:lang w:val="en-US"/>
                </w:rPr>
                <w:t>Oral language interventions | Teaching and Learning Toolkit | EEF</w:t>
              </w:r>
            </w:hyperlink>
          </w:p>
          <w:p w14:paraId="3AEABB1C" w14:textId="77777777" w:rsidR="00603C63" w:rsidRDefault="00603C63" w:rsidP="00603C63">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F5C4" w14:textId="64A4B596" w:rsidR="00603C63" w:rsidRDefault="00603C63" w:rsidP="00603C63">
            <w:pPr>
              <w:pStyle w:val="TableRowCentered"/>
              <w:ind w:left="0" w:right="0"/>
              <w:jc w:val="left"/>
              <w:rPr>
                <w:sz w:val="22"/>
              </w:rPr>
            </w:pPr>
            <w:r>
              <w:rPr>
                <w:sz w:val="22"/>
              </w:rPr>
              <w:lastRenderedPageBreak/>
              <w:t>3</w:t>
            </w:r>
          </w:p>
        </w:tc>
      </w:tr>
      <w:tr w:rsidR="00603C63" w14:paraId="232F537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19097" w14:textId="259BF83F" w:rsidR="00E450EA" w:rsidRDefault="00603C63" w:rsidP="00E450EA">
            <w:pPr>
              <w:pStyle w:val="TableRow"/>
              <w:rPr>
                <w:rFonts w:cs="Arial"/>
                <w:sz w:val="20"/>
                <w:szCs w:val="20"/>
              </w:rPr>
            </w:pPr>
            <w:r>
              <w:rPr>
                <w:rFonts w:cs="Arial"/>
                <w:sz w:val="20"/>
                <w:szCs w:val="20"/>
              </w:rPr>
              <w:t>Purchase of high-quality resources for Speech and Language assessment and intervention (</w:t>
            </w:r>
            <w:proofErr w:type="spellStart"/>
            <w:r>
              <w:rPr>
                <w:rFonts w:cs="Arial"/>
                <w:sz w:val="20"/>
                <w:szCs w:val="20"/>
              </w:rPr>
              <w:t>Wellcomm</w:t>
            </w:r>
            <w:proofErr w:type="spellEnd"/>
            <w:r>
              <w:rPr>
                <w:rFonts w:cs="Arial"/>
                <w:sz w:val="20"/>
                <w:szCs w:val="20"/>
              </w:rPr>
              <w:t xml:space="preserve"> and </w:t>
            </w:r>
            <w:proofErr w:type="spellStart"/>
            <w:r>
              <w:rPr>
                <w:rFonts w:cs="Arial"/>
                <w:sz w:val="20"/>
                <w:szCs w:val="20"/>
              </w:rPr>
              <w:t>Elklan</w:t>
            </w:r>
            <w:proofErr w:type="spellEnd"/>
            <w:r>
              <w:rPr>
                <w:rFonts w:cs="Arial"/>
                <w:sz w:val="20"/>
                <w:szCs w:val="20"/>
              </w:rPr>
              <w:t>)</w:t>
            </w:r>
          </w:p>
          <w:p w14:paraId="7D65D729" w14:textId="77777777" w:rsidR="00E450EA" w:rsidRDefault="00E450EA" w:rsidP="00603C63">
            <w:pPr>
              <w:pStyle w:val="TableRow"/>
              <w:ind w:left="0" w:right="0"/>
              <w:rPr>
                <w:i/>
                <w:sz w:val="22"/>
              </w:rPr>
            </w:pPr>
          </w:p>
          <w:p w14:paraId="31E63F55" w14:textId="7316D9E3" w:rsidR="00E450EA" w:rsidRPr="00B20545" w:rsidRDefault="00E450EA" w:rsidP="00603C63">
            <w:pPr>
              <w:pStyle w:val="TableRow"/>
              <w:ind w:left="0" w:right="0"/>
              <w:rPr>
                <w:sz w:val="20"/>
              </w:rPr>
            </w:pPr>
            <w:r w:rsidRPr="00E450EA">
              <w:rPr>
                <w:sz w:val="20"/>
              </w:rPr>
              <w:t xml:space="preserve">Stockport Speaks </w:t>
            </w:r>
            <w:proofErr w:type="spellStart"/>
            <w:r w:rsidRPr="00E450EA">
              <w:rPr>
                <w:sz w:val="20"/>
              </w:rPr>
              <w:t>Oracy</w:t>
            </w:r>
            <w:proofErr w:type="spellEnd"/>
            <w:r w:rsidRPr="00E450EA">
              <w:rPr>
                <w:sz w:val="20"/>
              </w:rPr>
              <w:t xml:space="preserve"> training</w:t>
            </w:r>
            <w:r>
              <w:rPr>
                <w:sz w:val="20"/>
              </w:rPr>
              <w:t xml:space="preserve"> and implementation in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6F61E" w14:textId="77777777" w:rsidR="00603C63" w:rsidRPr="00554D8E" w:rsidRDefault="00603C63" w:rsidP="00603C63">
            <w:pPr>
              <w:pStyle w:val="TableRowCentered"/>
              <w:jc w:val="left"/>
              <w:rPr>
                <w:rFonts w:cs="Arial"/>
                <w:sz w:val="20"/>
              </w:rPr>
            </w:pPr>
            <w:r w:rsidRPr="00554D8E">
              <w:rPr>
                <w:rFonts w:cs="Arial"/>
                <w:sz w:val="20"/>
              </w:rPr>
              <w:t>Nationally recognised intervention programmes and strategies used to accelerate progress of learners and address misconceptions and learning gaps.</w:t>
            </w:r>
          </w:p>
          <w:p w14:paraId="4B5CB9E2" w14:textId="77777777" w:rsidR="00603C63" w:rsidRPr="00554D8E" w:rsidRDefault="00603C63" w:rsidP="00603C63">
            <w:pPr>
              <w:pStyle w:val="TableRowCentered"/>
              <w:jc w:val="left"/>
              <w:rPr>
                <w:rFonts w:cs="Arial"/>
                <w:sz w:val="20"/>
              </w:rPr>
            </w:pPr>
          </w:p>
          <w:p w14:paraId="3F53FCE7" w14:textId="77777777" w:rsidR="00603C63" w:rsidRPr="00554D8E" w:rsidRDefault="00603C63" w:rsidP="00603C63">
            <w:pPr>
              <w:pStyle w:val="TableRowCentered"/>
              <w:jc w:val="left"/>
              <w:rPr>
                <w:rFonts w:cs="Arial"/>
                <w:color w:val="auto"/>
                <w:sz w:val="20"/>
              </w:rPr>
            </w:pPr>
            <w:r w:rsidRPr="00554D8E">
              <w:rPr>
                <w:rFonts w:cs="Arial"/>
                <w:color w:val="auto"/>
                <w:sz w:val="20"/>
              </w:rPr>
              <w:t>Oral language interventions can have a positive impact on pupils’ language skills. Approaches that focus on speaking, listening and a combination of the two show positive impacts on attainment:</w:t>
            </w:r>
          </w:p>
          <w:p w14:paraId="1419EFAE" w14:textId="77777777" w:rsidR="00603C63" w:rsidRPr="00554D8E" w:rsidRDefault="001E1467" w:rsidP="00603C63">
            <w:pPr>
              <w:spacing w:after="120"/>
              <w:rPr>
                <w:iCs/>
                <w:sz w:val="20"/>
                <w:lang w:val="en-US"/>
              </w:rPr>
            </w:pPr>
            <w:hyperlink r:id="rId15" w:history="1">
              <w:r w:rsidR="00603C63" w:rsidRPr="00554D8E">
                <w:rPr>
                  <w:rStyle w:val="Hyperlink"/>
                  <w:iCs/>
                  <w:sz w:val="20"/>
                  <w:lang w:val="en-US"/>
                </w:rPr>
                <w:t>Oral language interventions | Teaching and Learning Toolkit |</w:t>
              </w:r>
              <w:r w:rsidR="00603C63" w:rsidRPr="00554D8E">
                <w:rPr>
                  <w:iCs/>
                  <w:sz w:val="20"/>
                  <w:lang w:val="en-US"/>
                </w:rPr>
                <w:t xml:space="preserve"> EEF</w:t>
              </w:r>
            </w:hyperlink>
          </w:p>
          <w:p w14:paraId="691870B9" w14:textId="77777777" w:rsidR="00603C63" w:rsidRDefault="00603C63" w:rsidP="00603C63">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96908" w14:textId="054ECA80" w:rsidR="00603C63" w:rsidRDefault="00603C63" w:rsidP="00603C63">
            <w:pPr>
              <w:pStyle w:val="TableRowCentered"/>
              <w:ind w:left="0" w:right="0"/>
              <w:jc w:val="left"/>
              <w:rPr>
                <w:sz w:val="22"/>
              </w:rPr>
            </w:pPr>
            <w:r>
              <w:rPr>
                <w:sz w:val="22"/>
              </w:rPr>
              <w:t>3</w:t>
            </w:r>
          </w:p>
        </w:tc>
      </w:tr>
      <w:tr w:rsidR="00603C63" w14:paraId="3BD58A9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EDF7E" w14:textId="2E5AF933" w:rsidR="001E1467" w:rsidRPr="001E1467" w:rsidRDefault="00603C63" w:rsidP="001E1467">
            <w:pPr>
              <w:suppressAutoHyphens w:val="0"/>
              <w:autoSpaceDN/>
              <w:spacing w:before="100" w:beforeAutospacing="1" w:after="135" w:line="240" w:lineRule="auto"/>
              <w:rPr>
                <w:rFonts w:cs="Arial"/>
                <w:sz w:val="20"/>
                <w:szCs w:val="20"/>
              </w:rPr>
            </w:pPr>
            <w:r>
              <w:rPr>
                <w:rFonts w:cs="Arial"/>
                <w:sz w:val="20"/>
                <w:szCs w:val="20"/>
              </w:rPr>
              <w:t>High quality basis for curriculum plans to ensure progression.</w:t>
            </w:r>
          </w:p>
          <w:p w14:paraId="7CFA58D3" w14:textId="2E7BFEE1" w:rsidR="00603C63" w:rsidRDefault="00603C63" w:rsidP="00603C63">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2F731" w14:textId="77777777" w:rsidR="00603C63" w:rsidRPr="008F5ABF" w:rsidRDefault="00603C63" w:rsidP="00603C63">
            <w:pPr>
              <w:rPr>
                <w:rFonts w:cs="Arial"/>
                <w:sz w:val="20"/>
              </w:rPr>
            </w:pPr>
            <w:r w:rsidRPr="008F5ABF">
              <w:rPr>
                <w:rFonts w:cs="Arial"/>
                <w:sz w:val="20"/>
              </w:rPr>
              <w:t>EEF research on the importance of curriculum design</w:t>
            </w:r>
          </w:p>
          <w:p w14:paraId="2B2EA278" w14:textId="1901DCAF" w:rsidR="00603C63" w:rsidRDefault="001E1467" w:rsidP="00603C63">
            <w:pPr>
              <w:pStyle w:val="TableRowCentered"/>
              <w:ind w:left="0" w:right="0"/>
              <w:jc w:val="left"/>
              <w:rPr>
                <w:sz w:val="22"/>
              </w:rPr>
            </w:pPr>
            <w:hyperlink r:id="rId16" w:history="1">
              <w:r w:rsidR="00603C63" w:rsidRPr="008A3112">
                <w:rPr>
                  <w:rFonts w:cs="Arial"/>
                  <w:sz w:val="20"/>
                </w:rPr>
                <w:t>https://educationendowmentfoundation.org.uk/news/eef-blog-anchoring-curriculum-knowledge-using-metacognitive-strategies</w:t>
              </w:r>
            </w:hyperlink>
            <w:r w:rsidR="00603C63">
              <w:rPr>
                <w:rFonts w:cs="Arial"/>
                <w:sz w:val="20"/>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BAD56" w14:textId="681975A2" w:rsidR="00603C63" w:rsidRDefault="00E450EA" w:rsidP="00603C63">
            <w:pPr>
              <w:pStyle w:val="TableRowCentered"/>
              <w:ind w:left="0" w:right="0"/>
              <w:jc w:val="left"/>
              <w:rPr>
                <w:sz w:val="22"/>
              </w:rPr>
            </w:pPr>
            <w:r>
              <w:rPr>
                <w:sz w:val="22"/>
              </w:rPr>
              <w:t>2, 4, 6</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53DC48DE" w:rsidR="00E66558" w:rsidRDefault="009D71E8">
      <w:r>
        <w:t xml:space="preserve">Budgeted cost: £ </w:t>
      </w:r>
      <w:r w:rsidR="00B20545">
        <w:rPr>
          <w:i/>
          <w:iCs/>
        </w:rPr>
        <w:t>30,019</w:t>
      </w:r>
    </w:p>
    <w:tbl>
      <w:tblPr>
        <w:tblW w:w="5000" w:type="pct"/>
        <w:tblCellMar>
          <w:left w:w="10" w:type="dxa"/>
          <w:right w:w="10" w:type="dxa"/>
        </w:tblCellMar>
        <w:tblLook w:val="04A0" w:firstRow="1" w:lastRow="0" w:firstColumn="1" w:lastColumn="0" w:noHBand="0" w:noVBand="1"/>
      </w:tblPr>
      <w:tblGrid>
        <w:gridCol w:w="1971"/>
        <w:gridCol w:w="5788"/>
        <w:gridCol w:w="1727"/>
      </w:tblGrid>
      <w:tr w:rsidR="00E66558" w14:paraId="2A7D5528" w14:textId="77777777" w:rsidTr="00E450EA">
        <w:tc>
          <w:tcPr>
            <w:tcW w:w="19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57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72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450EA" w14:paraId="090E3928" w14:textId="77777777" w:rsidTr="00E450EA">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C6419" w14:textId="77777777" w:rsidR="00E450EA" w:rsidRDefault="00E450EA" w:rsidP="00E450EA">
            <w:pPr>
              <w:pStyle w:val="TableRow"/>
              <w:ind w:left="0"/>
              <w:rPr>
                <w:rFonts w:cs="Arial"/>
                <w:bCs/>
                <w:sz w:val="20"/>
                <w:szCs w:val="20"/>
              </w:rPr>
            </w:pPr>
            <w:r w:rsidRPr="00D10DFD">
              <w:rPr>
                <w:rFonts w:cs="Arial"/>
                <w:sz w:val="20"/>
                <w:szCs w:val="20"/>
              </w:rPr>
              <w:t xml:space="preserve">Timetabled </w:t>
            </w:r>
            <w:r>
              <w:rPr>
                <w:rFonts w:cs="Arial"/>
                <w:sz w:val="20"/>
                <w:szCs w:val="20"/>
              </w:rPr>
              <w:t xml:space="preserve">targeted, small group or 1:1 </w:t>
            </w:r>
            <w:proofErr w:type="gramStart"/>
            <w:r w:rsidRPr="00D10DFD">
              <w:rPr>
                <w:rFonts w:cs="Arial"/>
                <w:sz w:val="20"/>
                <w:szCs w:val="20"/>
              </w:rPr>
              <w:t>interventions</w:t>
            </w:r>
            <w:proofErr w:type="gramEnd"/>
            <w:r w:rsidRPr="00D10DFD">
              <w:rPr>
                <w:rFonts w:cs="Arial"/>
                <w:sz w:val="20"/>
                <w:szCs w:val="20"/>
              </w:rPr>
              <w:t xml:space="preserve"> implemented from a menu of reliable programmes including S</w:t>
            </w:r>
            <w:r w:rsidRPr="00D10DFD">
              <w:rPr>
                <w:rFonts w:cs="Arial"/>
                <w:bCs/>
                <w:sz w:val="20"/>
                <w:szCs w:val="20"/>
              </w:rPr>
              <w:t>ERI</w:t>
            </w:r>
            <w:r>
              <w:rPr>
                <w:rFonts w:cs="Arial"/>
                <w:bCs/>
                <w:sz w:val="20"/>
                <w:szCs w:val="20"/>
              </w:rPr>
              <w:t xml:space="preserve"> and precision teaching.</w:t>
            </w:r>
          </w:p>
          <w:p w14:paraId="54E16C9E" w14:textId="7E4815DF" w:rsidR="00E450EA" w:rsidRPr="00D10DFD" w:rsidRDefault="00E450EA" w:rsidP="00E450EA">
            <w:pPr>
              <w:pStyle w:val="TableRow"/>
              <w:ind w:left="0"/>
              <w:rPr>
                <w:rFonts w:cs="Arial"/>
                <w:sz w:val="20"/>
                <w:szCs w:val="20"/>
              </w:rPr>
            </w:pPr>
          </w:p>
        </w:tc>
        <w:tc>
          <w:tcPr>
            <w:tcW w:w="5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96E5" w14:textId="77777777" w:rsidR="00E450EA" w:rsidRPr="00554D8E" w:rsidRDefault="00E450EA" w:rsidP="00E450EA">
            <w:pPr>
              <w:autoSpaceDN/>
              <w:spacing w:before="60" w:after="60" w:line="240" w:lineRule="auto"/>
              <w:ind w:left="57" w:right="57"/>
              <w:rPr>
                <w:color w:val="auto"/>
                <w:sz w:val="20"/>
                <w:szCs w:val="20"/>
              </w:rPr>
            </w:pPr>
            <w:r w:rsidRPr="00554D8E">
              <w:rPr>
                <w:color w:val="auto"/>
                <w:sz w:val="20"/>
                <w:szCs w:val="20"/>
              </w:rPr>
              <w:t>Interventions targeted at specific needs and knowledge gaps can be an effective method to support low attaining pupils or those falling behind, both one-to-one:</w:t>
            </w:r>
          </w:p>
          <w:p w14:paraId="4F6CB4A5" w14:textId="77777777" w:rsidR="00E450EA" w:rsidRPr="00554D8E" w:rsidRDefault="001E1467" w:rsidP="00E450EA">
            <w:pPr>
              <w:pStyle w:val="TableRowCentered"/>
              <w:spacing w:after="120"/>
              <w:jc w:val="left"/>
              <w:rPr>
                <w:rStyle w:val="Hyperlink"/>
                <w:iCs/>
                <w:sz w:val="20"/>
                <w:lang w:val="en-US"/>
              </w:rPr>
            </w:pPr>
            <w:hyperlink r:id="rId17" w:history="1">
              <w:r w:rsidR="00E450EA" w:rsidRPr="00554D8E">
                <w:rPr>
                  <w:rStyle w:val="Hyperlink"/>
                  <w:iCs/>
                  <w:sz w:val="20"/>
                  <w:lang w:val="en-US"/>
                </w:rPr>
                <w:t xml:space="preserve">One to one tuition | Teaching and Learning Toolkit | EEF </w:t>
              </w:r>
            </w:hyperlink>
          </w:p>
          <w:p w14:paraId="185AF589" w14:textId="77777777" w:rsidR="00E450EA" w:rsidRPr="00554D8E" w:rsidRDefault="00E450EA" w:rsidP="00E450EA">
            <w:pPr>
              <w:autoSpaceDN/>
              <w:spacing w:before="60" w:after="60" w:line="240" w:lineRule="auto"/>
              <w:ind w:left="57" w:right="57"/>
              <w:rPr>
                <w:color w:val="auto"/>
                <w:sz w:val="20"/>
                <w:szCs w:val="20"/>
              </w:rPr>
            </w:pPr>
            <w:r w:rsidRPr="00554D8E">
              <w:rPr>
                <w:color w:val="auto"/>
                <w:sz w:val="20"/>
                <w:szCs w:val="20"/>
              </w:rPr>
              <w:t>And in small groups:</w:t>
            </w:r>
          </w:p>
          <w:p w14:paraId="748A4934" w14:textId="77777777" w:rsidR="00E450EA" w:rsidRPr="00554D8E" w:rsidRDefault="001E1467" w:rsidP="00E450EA">
            <w:pPr>
              <w:pStyle w:val="TableRowCentered"/>
              <w:spacing w:after="120"/>
              <w:jc w:val="left"/>
              <w:rPr>
                <w:rStyle w:val="Hyperlink"/>
                <w:iCs/>
                <w:sz w:val="20"/>
                <w:lang w:val="en-US"/>
              </w:rPr>
            </w:pPr>
            <w:hyperlink r:id="rId18" w:history="1">
              <w:r w:rsidR="00E450EA" w:rsidRPr="00554D8E">
                <w:rPr>
                  <w:rStyle w:val="Hyperlink"/>
                  <w:iCs/>
                  <w:sz w:val="20"/>
                  <w:lang w:val="en-US"/>
                </w:rPr>
                <w:t>Small group tuition | Teaching and Learning Toolkit | EEF</w:t>
              </w:r>
            </w:hyperlink>
          </w:p>
          <w:p w14:paraId="7827582F" w14:textId="77777777" w:rsidR="00E450EA" w:rsidRPr="00554D8E" w:rsidRDefault="00E450EA" w:rsidP="00E450EA">
            <w:pPr>
              <w:pStyle w:val="TableRowCentered"/>
              <w:jc w:val="left"/>
              <w:rPr>
                <w:rFonts w:cs="Arial"/>
                <w:color w:val="auto"/>
                <w:sz w:val="20"/>
              </w:rPr>
            </w:pPr>
          </w:p>
          <w:p w14:paraId="6710D36B" w14:textId="77777777" w:rsidR="00E450EA" w:rsidRPr="00554D8E" w:rsidRDefault="00E450EA" w:rsidP="00E450EA">
            <w:pPr>
              <w:autoSpaceDN/>
              <w:spacing w:before="60" w:after="60" w:line="240" w:lineRule="auto"/>
              <w:ind w:left="57" w:right="57"/>
              <w:rPr>
                <w:color w:val="auto"/>
                <w:sz w:val="20"/>
                <w:szCs w:val="20"/>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BB0E7" w14:textId="186EEC80" w:rsidR="00E450EA" w:rsidRDefault="00E450EA" w:rsidP="00E450EA">
            <w:pPr>
              <w:pStyle w:val="TableRowCentered"/>
              <w:ind w:left="0" w:right="0"/>
              <w:jc w:val="left"/>
              <w:rPr>
                <w:sz w:val="22"/>
              </w:rPr>
            </w:pPr>
            <w:r>
              <w:rPr>
                <w:sz w:val="22"/>
              </w:rPr>
              <w:t>4</w:t>
            </w:r>
          </w:p>
        </w:tc>
      </w:tr>
    </w:tbl>
    <w:p w14:paraId="2A7D5532" w14:textId="59A68BC3" w:rsidR="00E66558" w:rsidRPr="00AA355B" w:rsidRDefault="009D71E8" w:rsidP="00AA355B">
      <w:pPr>
        <w:pStyle w:val="Heading3"/>
      </w:pPr>
      <w:r>
        <w:t>Wider strategies (for example, related to attendance, behaviour, wellbeing)</w:t>
      </w:r>
    </w:p>
    <w:p w14:paraId="2A7D5533" w14:textId="7AAEC229" w:rsidR="00E66558" w:rsidRDefault="009D71E8">
      <w:pPr>
        <w:spacing w:before="240" w:after="120"/>
      </w:pPr>
      <w:r>
        <w:t xml:space="preserve">Budgeted cost: £ </w:t>
      </w:r>
      <w:r w:rsidR="00795190">
        <w:rPr>
          <w:i/>
          <w:iCs/>
        </w:rPr>
        <w:t>25,</w:t>
      </w:r>
      <w:r w:rsidR="00756E60">
        <w:rPr>
          <w:i/>
          <w:iCs/>
        </w:rPr>
        <w:t>4</w:t>
      </w:r>
      <w:r w:rsidR="00795190">
        <w:rPr>
          <w:i/>
          <w:iCs/>
        </w:rPr>
        <w:t>23.50</w:t>
      </w:r>
    </w:p>
    <w:tbl>
      <w:tblPr>
        <w:tblW w:w="5000" w:type="pct"/>
        <w:tblCellMar>
          <w:left w:w="10" w:type="dxa"/>
          <w:right w:w="10" w:type="dxa"/>
        </w:tblCellMar>
        <w:tblLook w:val="04A0" w:firstRow="1" w:lastRow="0" w:firstColumn="1" w:lastColumn="0" w:noHBand="0" w:noVBand="1"/>
      </w:tblPr>
      <w:tblGrid>
        <w:gridCol w:w="1971"/>
        <w:gridCol w:w="5788"/>
        <w:gridCol w:w="1727"/>
      </w:tblGrid>
      <w:tr w:rsidR="00E66558" w14:paraId="2A7D5537" w14:textId="77777777" w:rsidTr="00BB3420">
        <w:tc>
          <w:tcPr>
            <w:tcW w:w="19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57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72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752112" w14:paraId="2D5A6D0D" w14:textId="77777777" w:rsidTr="00BB3420">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4D0EC" w14:textId="77777777" w:rsidR="00752112" w:rsidRPr="00752112" w:rsidRDefault="00752112" w:rsidP="00752112">
            <w:pPr>
              <w:pStyle w:val="TableRow"/>
              <w:rPr>
                <w:sz w:val="20"/>
                <w:szCs w:val="20"/>
              </w:rPr>
            </w:pPr>
            <w:r w:rsidRPr="00752112">
              <w:rPr>
                <w:sz w:val="20"/>
                <w:szCs w:val="20"/>
              </w:rPr>
              <w:t>Identification of</w:t>
            </w:r>
          </w:p>
          <w:p w14:paraId="300FAB67" w14:textId="77777777" w:rsidR="00752112" w:rsidRPr="00752112" w:rsidRDefault="00752112" w:rsidP="00752112">
            <w:pPr>
              <w:pStyle w:val="TableRow"/>
              <w:rPr>
                <w:sz w:val="20"/>
                <w:szCs w:val="20"/>
              </w:rPr>
            </w:pPr>
            <w:r w:rsidRPr="00752112">
              <w:rPr>
                <w:sz w:val="20"/>
                <w:szCs w:val="20"/>
              </w:rPr>
              <w:lastRenderedPageBreak/>
              <w:t>eligible pupils</w:t>
            </w:r>
          </w:p>
          <w:p w14:paraId="642F54B3" w14:textId="77777777" w:rsidR="00752112" w:rsidRPr="00752112" w:rsidRDefault="00752112" w:rsidP="00752112">
            <w:pPr>
              <w:pStyle w:val="TableRow"/>
              <w:rPr>
                <w:sz w:val="20"/>
                <w:szCs w:val="20"/>
              </w:rPr>
            </w:pPr>
            <w:r w:rsidRPr="00752112">
              <w:rPr>
                <w:sz w:val="20"/>
                <w:szCs w:val="20"/>
              </w:rPr>
              <w:t>through SIMs OFSM</w:t>
            </w:r>
          </w:p>
          <w:p w14:paraId="7E260FF7" w14:textId="77777777" w:rsidR="00752112" w:rsidRDefault="00752112" w:rsidP="00752112">
            <w:pPr>
              <w:pStyle w:val="TableRow"/>
              <w:rPr>
                <w:sz w:val="20"/>
                <w:szCs w:val="20"/>
              </w:rPr>
            </w:pPr>
            <w:r w:rsidRPr="00752112">
              <w:rPr>
                <w:sz w:val="20"/>
                <w:szCs w:val="20"/>
              </w:rPr>
              <w:t>package.</w:t>
            </w:r>
          </w:p>
          <w:p w14:paraId="3AB0AC2A" w14:textId="4F1F4933" w:rsidR="00752112" w:rsidRPr="005733A6" w:rsidRDefault="00752112" w:rsidP="001E1467">
            <w:pPr>
              <w:pStyle w:val="TableRow"/>
              <w:ind w:left="0"/>
              <w:rPr>
                <w:sz w:val="20"/>
                <w:szCs w:val="20"/>
              </w:rPr>
            </w:pPr>
          </w:p>
        </w:tc>
        <w:tc>
          <w:tcPr>
            <w:tcW w:w="5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E6457" w14:textId="77777777" w:rsidR="0011614D" w:rsidRPr="0011614D" w:rsidRDefault="0011614D" w:rsidP="0011614D">
            <w:pPr>
              <w:pStyle w:val="TableRowCentered"/>
              <w:jc w:val="left"/>
              <w:rPr>
                <w:sz w:val="20"/>
              </w:rPr>
            </w:pPr>
            <w:r w:rsidRPr="0011614D">
              <w:rPr>
                <w:sz w:val="20"/>
              </w:rPr>
              <w:lastRenderedPageBreak/>
              <w:t>Accurate and timely identification of eligibility is</w:t>
            </w:r>
          </w:p>
          <w:p w14:paraId="26C9A0B9" w14:textId="394C2BD5" w:rsidR="00752112" w:rsidRPr="00554D8E" w:rsidRDefault="0011614D" w:rsidP="0011614D">
            <w:pPr>
              <w:pStyle w:val="TableRowCentered"/>
              <w:jc w:val="left"/>
              <w:rPr>
                <w:sz w:val="20"/>
              </w:rPr>
            </w:pPr>
            <w:r w:rsidRPr="0011614D">
              <w:rPr>
                <w:sz w:val="20"/>
              </w:rPr>
              <w:lastRenderedPageBreak/>
              <w:t>essential in PP management.</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E67" w14:textId="0BBCD167" w:rsidR="00752112" w:rsidRDefault="0011614D" w:rsidP="00E450EA">
            <w:pPr>
              <w:pStyle w:val="TableRowCentered"/>
              <w:ind w:left="0" w:right="0"/>
              <w:jc w:val="left"/>
              <w:rPr>
                <w:sz w:val="22"/>
              </w:rPr>
            </w:pPr>
            <w:r>
              <w:rPr>
                <w:sz w:val="22"/>
              </w:rPr>
              <w:lastRenderedPageBreak/>
              <w:t>1-6</w:t>
            </w:r>
          </w:p>
        </w:tc>
      </w:tr>
      <w:tr w:rsidR="00E450EA" w14:paraId="2A7D553F" w14:textId="77777777" w:rsidTr="00BB3420">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4DA50" w14:textId="77777777" w:rsidR="00E450EA" w:rsidRDefault="00E450EA" w:rsidP="00E450EA">
            <w:pPr>
              <w:pStyle w:val="TableRow"/>
              <w:rPr>
                <w:sz w:val="20"/>
                <w:szCs w:val="20"/>
              </w:rPr>
            </w:pPr>
            <w:r w:rsidRPr="005733A6">
              <w:rPr>
                <w:sz w:val="20"/>
                <w:szCs w:val="20"/>
              </w:rPr>
              <w:t xml:space="preserve">Weekly monitoring of attendance and punctuality. Early identification, including those with medical and heath related attendance concerns. </w:t>
            </w:r>
          </w:p>
          <w:p w14:paraId="2A7D553C" w14:textId="77777777" w:rsidR="00E450EA" w:rsidRDefault="00E450EA" w:rsidP="001E1467">
            <w:pPr>
              <w:pStyle w:val="TableRow"/>
              <w:ind w:left="0"/>
              <w:rPr>
                <w:i/>
                <w:sz w:val="22"/>
              </w:rPr>
            </w:pPr>
          </w:p>
        </w:tc>
        <w:tc>
          <w:tcPr>
            <w:tcW w:w="5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02E8" w14:textId="77777777" w:rsidR="00E450EA" w:rsidRDefault="00E450EA" w:rsidP="00E450EA">
            <w:pPr>
              <w:pStyle w:val="TableRowCentered"/>
              <w:jc w:val="left"/>
              <w:rPr>
                <w:sz w:val="20"/>
              </w:rPr>
            </w:pPr>
            <w:r w:rsidRPr="00554D8E">
              <w:rPr>
                <w:sz w:val="20"/>
              </w:rPr>
              <w:t>DFE published research 20</w:t>
            </w:r>
            <w:r>
              <w:rPr>
                <w:sz w:val="20"/>
              </w:rPr>
              <w:t>22</w:t>
            </w:r>
            <w:r w:rsidRPr="00554D8E">
              <w:rPr>
                <w:sz w:val="20"/>
              </w:rPr>
              <w:t xml:space="preserve"> showed that the higher the overall absence rate, the lower the likely level of attainment at the end of KS2.</w:t>
            </w:r>
          </w:p>
          <w:p w14:paraId="224D7C3D" w14:textId="77777777" w:rsidR="00E450EA" w:rsidRDefault="00E450EA" w:rsidP="00E450EA">
            <w:pPr>
              <w:pStyle w:val="TableRowCentered"/>
              <w:jc w:val="left"/>
              <w:rPr>
                <w:sz w:val="20"/>
              </w:rPr>
            </w:pPr>
          </w:p>
          <w:p w14:paraId="11A3F0AD" w14:textId="77777777" w:rsidR="00E450EA" w:rsidRPr="00554D8E" w:rsidRDefault="001E1467" w:rsidP="00E450EA">
            <w:pPr>
              <w:pStyle w:val="TableRowCentered"/>
              <w:jc w:val="left"/>
              <w:rPr>
                <w:sz w:val="20"/>
              </w:rPr>
            </w:pPr>
            <w:hyperlink r:id="rId19" w:history="1">
              <w:r w:rsidR="00E450EA" w:rsidRPr="008A3112">
                <w:rPr>
                  <w:rStyle w:val="Hyperlink"/>
                  <w:sz w:val="20"/>
                </w:rPr>
                <w:t>https://explore-education-statistics.service.gov.uk/find-statistics/the-link-between-absence-and-attainment-at-ks2-and-ks4</w:t>
              </w:r>
            </w:hyperlink>
            <w:r w:rsidR="00E450EA">
              <w:rPr>
                <w:sz w:val="20"/>
              </w:rPr>
              <w:t xml:space="preserve"> </w:t>
            </w:r>
          </w:p>
          <w:p w14:paraId="5954DF62" w14:textId="77777777" w:rsidR="00E450EA" w:rsidRPr="00554D8E" w:rsidRDefault="00E450EA" w:rsidP="00E450EA">
            <w:pPr>
              <w:pStyle w:val="TableRowCentered"/>
              <w:jc w:val="left"/>
              <w:rPr>
                <w:sz w:val="20"/>
              </w:rPr>
            </w:pPr>
          </w:p>
          <w:p w14:paraId="2A7D553D" w14:textId="77777777" w:rsidR="00E450EA" w:rsidRDefault="00E450EA" w:rsidP="00E450EA">
            <w:pPr>
              <w:pStyle w:val="TableRowCentered"/>
              <w:ind w:left="0" w:right="0"/>
              <w:jc w:val="left"/>
              <w:rPr>
                <w:sz w:val="2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80A97D5" w:rsidR="00E450EA" w:rsidRDefault="00E450EA" w:rsidP="00E450EA">
            <w:pPr>
              <w:pStyle w:val="TableRowCentered"/>
              <w:ind w:left="0" w:right="0"/>
              <w:jc w:val="left"/>
              <w:rPr>
                <w:sz w:val="22"/>
              </w:rPr>
            </w:pPr>
            <w:r>
              <w:rPr>
                <w:sz w:val="22"/>
              </w:rPr>
              <w:t>1, 2</w:t>
            </w:r>
          </w:p>
        </w:tc>
      </w:tr>
      <w:tr w:rsidR="00E450EA" w14:paraId="588F6E97" w14:textId="77777777" w:rsidTr="00BB3420">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F8911" w14:textId="77777777" w:rsidR="00E450EA" w:rsidRPr="003D2C63" w:rsidRDefault="00E450EA" w:rsidP="00E450EA">
            <w:pPr>
              <w:pStyle w:val="TableRow"/>
              <w:rPr>
                <w:sz w:val="20"/>
                <w:szCs w:val="20"/>
              </w:rPr>
            </w:pPr>
            <w:r w:rsidRPr="003D2C63">
              <w:rPr>
                <w:sz w:val="20"/>
                <w:szCs w:val="20"/>
              </w:rPr>
              <w:t xml:space="preserve">Weekly 1:1 counselling </w:t>
            </w:r>
            <w:proofErr w:type="gramStart"/>
            <w:r w:rsidRPr="003D2C63">
              <w:rPr>
                <w:sz w:val="20"/>
                <w:szCs w:val="20"/>
              </w:rPr>
              <w:t>sessions</w:t>
            </w:r>
            <w:proofErr w:type="gramEnd"/>
            <w:r w:rsidRPr="003D2C63">
              <w:rPr>
                <w:sz w:val="20"/>
                <w:szCs w:val="20"/>
              </w:rPr>
              <w:t xml:space="preserve"> with a qualified counsellor.</w:t>
            </w:r>
          </w:p>
          <w:p w14:paraId="06EA1DFB" w14:textId="77777777" w:rsidR="00E450EA" w:rsidRPr="003D2C63" w:rsidRDefault="00E450EA" w:rsidP="00E450EA">
            <w:pPr>
              <w:pStyle w:val="TableRow"/>
              <w:rPr>
                <w:sz w:val="20"/>
                <w:szCs w:val="20"/>
              </w:rPr>
            </w:pPr>
          </w:p>
          <w:p w14:paraId="5C309FCE" w14:textId="59F60B60" w:rsidR="00E450EA" w:rsidRDefault="00E450EA" w:rsidP="00E450EA">
            <w:pPr>
              <w:pStyle w:val="TableRow"/>
              <w:ind w:left="0" w:right="0"/>
              <w:rPr>
                <w:i/>
                <w:sz w:val="22"/>
              </w:rPr>
            </w:pPr>
          </w:p>
        </w:tc>
        <w:tc>
          <w:tcPr>
            <w:tcW w:w="5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4E0A" w14:textId="77777777" w:rsidR="00E450EA" w:rsidRPr="00554D8E" w:rsidRDefault="00E450EA" w:rsidP="00E450EA">
            <w:pPr>
              <w:pStyle w:val="TableRowCentered"/>
              <w:jc w:val="left"/>
              <w:rPr>
                <w:rFonts w:cs="Arial"/>
                <w:color w:val="auto"/>
                <w:sz w:val="20"/>
              </w:rPr>
            </w:pPr>
            <w:r w:rsidRPr="00554D8E">
              <w:rPr>
                <w:rFonts w:cs="Arial"/>
                <w:color w:val="auto"/>
                <w:sz w:val="20"/>
              </w:rPr>
              <w:t>There is extensive evidence associating childhood social and emotional skills with improved outcomes at school and in later life (e.g., improved academic performance, attitudes, behaviour and relationships with peers):</w:t>
            </w:r>
          </w:p>
          <w:p w14:paraId="506F930D" w14:textId="50C8AF65" w:rsidR="00E450EA" w:rsidRDefault="001E1467" w:rsidP="00E450EA">
            <w:pPr>
              <w:pStyle w:val="TableRowCentered"/>
              <w:ind w:left="0" w:right="0"/>
              <w:jc w:val="left"/>
              <w:rPr>
                <w:sz w:val="22"/>
              </w:rPr>
            </w:pPr>
            <w:hyperlink r:id="rId20" w:history="1">
              <w:proofErr w:type="spellStart"/>
              <w:r w:rsidR="00E450EA" w:rsidRPr="00554D8E">
                <w:rPr>
                  <w:rStyle w:val="Hyperlink"/>
                  <w:iCs/>
                  <w:sz w:val="20"/>
                  <w:lang w:val="en-US"/>
                </w:rPr>
                <w:t>Improving_Social_and_Emotional</w:t>
              </w:r>
              <w:proofErr w:type="spellEnd"/>
              <w:proofErr w:type="gramStart"/>
              <w:r w:rsidR="00E450EA" w:rsidRPr="00554D8E">
                <w:rPr>
                  <w:rStyle w:val="Hyperlink"/>
                  <w:iCs/>
                  <w:sz w:val="20"/>
                  <w:lang w:val="en-US"/>
                </w:rPr>
                <w:t>_  Learning</w:t>
              </w:r>
              <w:proofErr w:type="gramEnd"/>
            </w:hyperlink>
            <w:r w:rsidR="00E450EA" w:rsidRPr="00554D8E">
              <w:rPr>
                <w:rStyle w:val="Hyperlink"/>
                <w:iCs/>
                <w:sz w:val="20"/>
                <w:lang w:val="en-US"/>
              </w:rPr>
              <w:t xml:space="preserve"> in Primary Schools | EEF</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9452B" w14:textId="3DFDA6C2" w:rsidR="00E450EA" w:rsidRDefault="00E450EA" w:rsidP="00E450EA">
            <w:pPr>
              <w:pStyle w:val="TableRowCentered"/>
              <w:ind w:left="0" w:right="0"/>
              <w:jc w:val="left"/>
              <w:rPr>
                <w:sz w:val="22"/>
              </w:rPr>
            </w:pPr>
            <w:r w:rsidRPr="003D2C63">
              <w:rPr>
                <w:sz w:val="20"/>
              </w:rPr>
              <w:t>2, 4</w:t>
            </w:r>
          </w:p>
        </w:tc>
      </w:tr>
      <w:tr w:rsidR="00E450EA" w14:paraId="5F530E5E" w14:textId="77777777" w:rsidTr="00BB3420">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3DFD" w14:textId="77777777" w:rsidR="00E450EA" w:rsidRDefault="00E450EA" w:rsidP="00E450EA">
            <w:pPr>
              <w:pStyle w:val="TableRow"/>
              <w:rPr>
                <w:sz w:val="20"/>
                <w:szCs w:val="20"/>
              </w:rPr>
            </w:pPr>
            <w:r w:rsidRPr="005733A6">
              <w:rPr>
                <w:sz w:val="20"/>
                <w:szCs w:val="20"/>
              </w:rPr>
              <w:t>Implementation of mentor support and intervention programmes, including ELSA.</w:t>
            </w:r>
          </w:p>
          <w:p w14:paraId="7C9DE0C2" w14:textId="7F365EA4" w:rsidR="00E450EA" w:rsidRDefault="00E450EA" w:rsidP="00BB3420">
            <w:pPr>
              <w:pStyle w:val="TableRow"/>
              <w:ind w:left="0"/>
              <w:rPr>
                <w:sz w:val="20"/>
                <w:szCs w:val="20"/>
              </w:rPr>
            </w:pPr>
          </w:p>
          <w:p w14:paraId="63D9C77E" w14:textId="493B5229" w:rsidR="00BB3420" w:rsidRDefault="00BB3420" w:rsidP="00BB3420">
            <w:pPr>
              <w:pStyle w:val="TableRow"/>
              <w:ind w:left="0"/>
              <w:rPr>
                <w:sz w:val="20"/>
                <w:szCs w:val="20"/>
              </w:rPr>
            </w:pPr>
            <w:r>
              <w:rPr>
                <w:sz w:val="20"/>
                <w:szCs w:val="20"/>
              </w:rPr>
              <w:t>Learning mentor 5 hours</w:t>
            </w:r>
          </w:p>
          <w:p w14:paraId="395DDC55" w14:textId="5246BFBC" w:rsidR="00E450EA" w:rsidRDefault="00E450EA" w:rsidP="00E450EA">
            <w:pPr>
              <w:pStyle w:val="TableRow"/>
              <w:ind w:left="0" w:right="0"/>
              <w:rPr>
                <w:i/>
                <w:sz w:val="22"/>
              </w:rPr>
            </w:pPr>
            <w:r>
              <w:rPr>
                <w:sz w:val="20"/>
                <w:szCs w:val="20"/>
              </w:rPr>
              <w:t>£</w:t>
            </w:r>
            <w:r w:rsidR="00BB3420" w:rsidRPr="00BB3420">
              <w:rPr>
                <w:sz w:val="20"/>
                <w:szCs w:val="20"/>
              </w:rPr>
              <w:t>3295</w:t>
            </w:r>
          </w:p>
        </w:tc>
        <w:tc>
          <w:tcPr>
            <w:tcW w:w="5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B0145" w14:textId="77777777" w:rsidR="00E450EA" w:rsidRPr="00554D8E" w:rsidRDefault="00E450EA" w:rsidP="00E450EA">
            <w:pPr>
              <w:pStyle w:val="TableRowCentered"/>
              <w:jc w:val="left"/>
              <w:rPr>
                <w:rFonts w:cs="Arial"/>
                <w:color w:val="auto"/>
                <w:sz w:val="20"/>
              </w:rPr>
            </w:pPr>
            <w:r w:rsidRPr="00554D8E">
              <w:rPr>
                <w:rFonts w:cs="Arial"/>
                <w:color w:val="auto"/>
                <w:sz w:val="20"/>
              </w:rPr>
              <w:t>There is extensive evidence associating childhood social and emotional skills with improved outcomes at school and in later life (e.g., improved academic performance, attitudes, behaviour and relationships with peers):</w:t>
            </w:r>
          </w:p>
          <w:p w14:paraId="60DA75AE" w14:textId="38CC7AA6" w:rsidR="00E450EA" w:rsidRDefault="001E1467" w:rsidP="00E450EA">
            <w:pPr>
              <w:pStyle w:val="TableRowCentered"/>
              <w:ind w:left="0" w:right="0"/>
              <w:jc w:val="left"/>
              <w:rPr>
                <w:sz w:val="22"/>
              </w:rPr>
            </w:pPr>
            <w:hyperlink r:id="rId21" w:history="1">
              <w:proofErr w:type="spellStart"/>
              <w:r w:rsidR="00E450EA" w:rsidRPr="00554D8E">
                <w:rPr>
                  <w:rStyle w:val="Hyperlink"/>
                  <w:iCs/>
                  <w:sz w:val="20"/>
                  <w:lang w:val="en-US"/>
                </w:rPr>
                <w:t>Improving_Social_and_Emotional</w:t>
              </w:r>
              <w:proofErr w:type="spellEnd"/>
              <w:proofErr w:type="gramStart"/>
              <w:r w:rsidR="00E450EA" w:rsidRPr="00554D8E">
                <w:rPr>
                  <w:rStyle w:val="Hyperlink"/>
                  <w:iCs/>
                  <w:sz w:val="20"/>
                  <w:lang w:val="en-US"/>
                </w:rPr>
                <w:t>_  Learning</w:t>
              </w:r>
              <w:proofErr w:type="gramEnd"/>
            </w:hyperlink>
            <w:r w:rsidR="00E450EA" w:rsidRPr="00554D8E">
              <w:rPr>
                <w:rStyle w:val="Hyperlink"/>
                <w:iCs/>
                <w:sz w:val="20"/>
                <w:lang w:val="en-US"/>
              </w:rPr>
              <w:t xml:space="preserve"> in Primary Schools | EEF</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7505" w14:textId="178A1031" w:rsidR="00E450EA" w:rsidRDefault="00E450EA" w:rsidP="00E450EA">
            <w:pPr>
              <w:pStyle w:val="TableRowCentered"/>
              <w:ind w:left="0" w:right="0"/>
              <w:jc w:val="left"/>
              <w:rPr>
                <w:sz w:val="22"/>
              </w:rPr>
            </w:pPr>
            <w:r>
              <w:rPr>
                <w:sz w:val="22"/>
              </w:rPr>
              <w:t>2</w:t>
            </w:r>
          </w:p>
        </w:tc>
      </w:tr>
      <w:tr w:rsidR="00E450EA" w14:paraId="76F06DCC" w14:textId="77777777" w:rsidTr="00BB3420">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93B81" w14:textId="2BB1AAE6" w:rsidR="00BB3420" w:rsidRDefault="00E450EA" w:rsidP="001E1467">
            <w:pPr>
              <w:pStyle w:val="TableRow"/>
              <w:rPr>
                <w:sz w:val="20"/>
                <w:szCs w:val="20"/>
              </w:rPr>
            </w:pPr>
            <w:r w:rsidRPr="005733A6">
              <w:rPr>
                <w:sz w:val="20"/>
                <w:szCs w:val="20"/>
              </w:rPr>
              <w:t>Deepen learning through enhanced opportunities including forest school,</w:t>
            </w:r>
            <w:r w:rsidR="00BB3420">
              <w:rPr>
                <w:sz w:val="20"/>
                <w:szCs w:val="20"/>
              </w:rPr>
              <w:t xml:space="preserve"> clubs,</w:t>
            </w:r>
            <w:r w:rsidRPr="005733A6">
              <w:rPr>
                <w:sz w:val="20"/>
                <w:szCs w:val="20"/>
              </w:rPr>
              <w:t xml:space="preserve"> curriculum trips, visits and residential opportunities for year 5 and year 6.</w:t>
            </w:r>
          </w:p>
          <w:p w14:paraId="2F9E2742" w14:textId="77777777" w:rsidR="00795190" w:rsidRDefault="00795190" w:rsidP="00E450EA">
            <w:pPr>
              <w:pStyle w:val="TableRow"/>
              <w:ind w:left="0" w:right="0"/>
              <w:rPr>
                <w:i/>
                <w:sz w:val="22"/>
              </w:rPr>
            </w:pPr>
          </w:p>
          <w:p w14:paraId="73AF385B" w14:textId="77777777" w:rsidR="00795190" w:rsidRPr="00756E60" w:rsidRDefault="00795190" w:rsidP="00E450EA">
            <w:pPr>
              <w:pStyle w:val="TableRow"/>
              <w:ind w:left="0" w:right="0"/>
              <w:rPr>
                <w:sz w:val="20"/>
              </w:rPr>
            </w:pPr>
            <w:r w:rsidRPr="00756E60">
              <w:rPr>
                <w:sz w:val="20"/>
              </w:rPr>
              <w:t xml:space="preserve">In school visits and experiences </w:t>
            </w:r>
          </w:p>
          <w:p w14:paraId="0CDCB158" w14:textId="6C1305E9" w:rsidR="00795190" w:rsidRDefault="00795190" w:rsidP="00E450EA">
            <w:pPr>
              <w:pStyle w:val="TableRow"/>
              <w:ind w:left="0" w:right="0"/>
              <w:rPr>
                <w:i/>
                <w:sz w:val="22"/>
              </w:rPr>
            </w:pPr>
          </w:p>
        </w:tc>
        <w:tc>
          <w:tcPr>
            <w:tcW w:w="5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889D4" w14:textId="77777777" w:rsidR="00E450EA" w:rsidRPr="00554D8E" w:rsidRDefault="00E450EA" w:rsidP="00E450EA">
            <w:pPr>
              <w:pStyle w:val="TableRowCentered"/>
              <w:jc w:val="left"/>
              <w:rPr>
                <w:sz w:val="20"/>
              </w:rPr>
            </w:pPr>
            <w:r w:rsidRPr="00554D8E">
              <w:rPr>
                <w:sz w:val="20"/>
              </w:rPr>
              <w:t>The British Government recognises that ‘learning outside the classroom brings the curriculum to life’.  It provides deeper subject learning and increases self-confidence. It also helps pupils develop their risk awareness and prepares them for their future working lives. (H&amp;S Executive 2011)</w:t>
            </w:r>
          </w:p>
          <w:p w14:paraId="74CC7C34" w14:textId="77777777" w:rsidR="00E450EA" w:rsidRPr="00554D8E" w:rsidRDefault="00E450EA" w:rsidP="00E450EA">
            <w:pPr>
              <w:pStyle w:val="TableRowCentered"/>
              <w:jc w:val="left"/>
              <w:rPr>
                <w:sz w:val="20"/>
              </w:rPr>
            </w:pPr>
          </w:p>
          <w:p w14:paraId="63C5D033" w14:textId="77777777" w:rsidR="00E450EA" w:rsidRPr="00554D8E" w:rsidRDefault="00E450EA" w:rsidP="00E450EA">
            <w:pPr>
              <w:pStyle w:val="TableRowCentered"/>
              <w:jc w:val="left"/>
              <w:rPr>
                <w:sz w:val="20"/>
              </w:rPr>
            </w:pPr>
            <w:r w:rsidRPr="00554D8E">
              <w:rPr>
                <w:sz w:val="20"/>
              </w:rPr>
              <w:t>EEF research suggests a moderate impact for low cost</w:t>
            </w:r>
          </w:p>
          <w:p w14:paraId="36D1115D" w14:textId="77777777" w:rsidR="00E450EA" w:rsidRPr="00554D8E" w:rsidRDefault="001E1467" w:rsidP="00E450EA">
            <w:pPr>
              <w:pStyle w:val="TableRowCentered"/>
              <w:jc w:val="left"/>
              <w:rPr>
                <w:sz w:val="20"/>
              </w:rPr>
            </w:pPr>
            <w:hyperlink r:id="rId22" w:history="1">
              <w:r w:rsidR="00E450EA" w:rsidRPr="00554D8E">
                <w:rPr>
                  <w:rStyle w:val="Hyperlink"/>
                  <w:sz w:val="20"/>
                </w:rPr>
                <w:t>https://educationendowmentfoundation.org.uk/education-evidence/teaching-learning-toolkit/arts-participation</w:t>
              </w:r>
            </w:hyperlink>
            <w:r w:rsidR="00E450EA" w:rsidRPr="00554D8E">
              <w:rPr>
                <w:sz w:val="20"/>
              </w:rPr>
              <w:t xml:space="preserve"> </w:t>
            </w:r>
          </w:p>
          <w:p w14:paraId="098C25E2" w14:textId="77777777" w:rsidR="00E450EA" w:rsidRDefault="00E450EA" w:rsidP="00E450EA">
            <w:pPr>
              <w:pStyle w:val="TableRowCentered"/>
              <w:ind w:left="0" w:right="0"/>
              <w:jc w:val="left"/>
              <w:rPr>
                <w:sz w:val="2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0952" w14:textId="0D93F8A7" w:rsidR="00E450EA" w:rsidRDefault="00E450EA" w:rsidP="00E450EA">
            <w:pPr>
              <w:pStyle w:val="TableRowCentered"/>
              <w:ind w:left="0" w:right="0"/>
              <w:jc w:val="left"/>
              <w:rPr>
                <w:sz w:val="22"/>
              </w:rPr>
            </w:pPr>
            <w:r>
              <w:rPr>
                <w:sz w:val="22"/>
              </w:rPr>
              <w:t>2</w:t>
            </w:r>
          </w:p>
        </w:tc>
      </w:tr>
      <w:tr w:rsidR="00E450EA" w14:paraId="23546757" w14:textId="77777777" w:rsidTr="00BB3420">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C64F" w14:textId="77777777" w:rsidR="00E450EA" w:rsidRDefault="00E450EA" w:rsidP="00E450EA">
            <w:pPr>
              <w:pStyle w:val="TableRow"/>
              <w:ind w:left="0"/>
              <w:rPr>
                <w:sz w:val="20"/>
                <w:szCs w:val="20"/>
              </w:rPr>
            </w:pPr>
            <w:r>
              <w:rPr>
                <w:sz w:val="20"/>
                <w:szCs w:val="20"/>
              </w:rPr>
              <w:t>Parent workshops with incentives:</w:t>
            </w:r>
          </w:p>
          <w:p w14:paraId="7EE27B8B" w14:textId="77777777" w:rsidR="00E450EA" w:rsidRDefault="00E450EA" w:rsidP="00E450EA">
            <w:pPr>
              <w:pStyle w:val="TableRow"/>
              <w:ind w:left="0"/>
              <w:rPr>
                <w:sz w:val="20"/>
                <w:szCs w:val="20"/>
              </w:rPr>
            </w:pPr>
            <w:r>
              <w:rPr>
                <w:sz w:val="20"/>
                <w:szCs w:val="20"/>
              </w:rPr>
              <w:t>Phonics</w:t>
            </w:r>
          </w:p>
          <w:p w14:paraId="51AA8233" w14:textId="77777777" w:rsidR="00E450EA" w:rsidRDefault="00E450EA" w:rsidP="00E450EA">
            <w:pPr>
              <w:pStyle w:val="TableRow"/>
              <w:ind w:left="0"/>
              <w:rPr>
                <w:sz w:val="20"/>
                <w:szCs w:val="20"/>
              </w:rPr>
            </w:pPr>
            <w:r>
              <w:rPr>
                <w:sz w:val="20"/>
                <w:szCs w:val="20"/>
              </w:rPr>
              <w:t>Reading</w:t>
            </w:r>
          </w:p>
          <w:p w14:paraId="1551C9E7" w14:textId="77777777" w:rsidR="00E450EA" w:rsidRDefault="00E450EA" w:rsidP="00E450EA">
            <w:pPr>
              <w:pStyle w:val="TableRow"/>
              <w:ind w:left="0"/>
              <w:rPr>
                <w:sz w:val="20"/>
                <w:szCs w:val="20"/>
              </w:rPr>
            </w:pPr>
          </w:p>
          <w:p w14:paraId="28F302FE" w14:textId="7D08C9C6" w:rsidR="00E450EA" w:rsidRDefault="00E450EA" w:rsidP="00E450EA">
            <w:pPr>
              <w:pStyle w:val="TableRow"/>
              <w:ind w:left="0" w:right="0"/>
              <w:rPr>
                <w:i/>
                <w:sz w:val="22"/>
              </w:rPr>
            </w:pPr>
          </w:p>
        </w:tc>
        <w:tc>
          <w:tcPr>
            <w:tcW w:w="5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618E" w14:textId="77777777" w:rsidR="00E450EA" w:rsidRPr="00554D8E" w:rsidRDefault="00E450EA" w:rsidP="00E450EA">
            <w:pPr>
              <w:pStyle w:val="TableRowCentered"/>
              <w:jc w:val="left"/>
              <w:rPr>
                <w:sz w:val="20"/>
              </w:rPr>
            </w:pPr>
            <w:r w:rsidRPr="00554D8E">
              <w:rPr>
                <w:sz w:val="20"/>
              </w:rPr>
              <w:t>The EEF guidance ‘Working with Parents to Support children’s learning’ suggests parental engagement in children’s learning and the quality of the home learning environment are associated with improved academic outcomes at all ages.</w:t>
            </w:r>
          </w:p>
          <w:p w14:paraId="189A7F19" w14:textId="77777777" w:rsidR="00E450EA" w:rsidRPr="00554D8E" w:rsidRDefault="00E450EA" w:rsidP="00E450EA">
            <w:pPr>
              <w:pStyle w:val="TableRowCentered"/>
              <w:jc w:val="left"/>
              <w:rPr>
                <w:sz w:val="20"/>
              </w:rPr>
            </w:pPr>
          </w:p>
          <w:p w14:paraId="0DC6A2F4" w14:textId="7A0A94F5" w:rsidR="00E450EA" w:rsidRDefault="001E1467" w:rsidP="00E450EA">
            <w:pPr>
              <w:pStyle w:val="TableRowCentered"/>
              <w:ind w:left="0" w:right="0"/>
              <w:jc w:val="left"/>
              <w:rPr>
                <w:sz w:val="22"/>
              </w:rPr>
            </w:pPr>
            <w:hyperlink r:id="rId23" w:history="1">
              <w:r w:rsidR="00E450EA" w:rsidRPr="00554D8E">
                <w:rPr>
                  <w:rStyle w:val="Hyperlink"/>
                  <w:sz w:val="20"/>
                </w:rPr>
                <w:t xml:space="preserve">https://d2tic4wvo1iusb.cloudfront.net/eef-guidance-reports/supporting-parents/EEF_Parental_Engagement_Guidance_ </w:t>
              </w:r>
              <w:proofErr w:type="spellStart"/>
              <w:r w:rsidR="00E450EA" w:rsidRPr="00554D8E">
                <w:rPr>
                  <w:rStyle w:val="Hyperlink"/>
                  <w:sz w:val="20"/>
                </w:rPr>
                <w:t>Report.pdf?v</w:t>
              </w:r>
              <w:proofErr w:type="spellEnd"/>
              <w:r w:rsidR="00E450EA" w:rsidRPr="00554D8E">
                <w:rPr>
                  <w:rStyle w:val="Hyperlink"/>
                  <w:sz w:val="20"/>
                </w:rPr>
                <w:t>=1635355222</w:t>
              </w:r>
            </w:hyperlink>
            <w:r w:rsidR="00E450EA" w:rsidRPr="00554D8E">
              <w:rPr>
                <w:sz w:val="20"/>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63037" w14:textId="030161A9" w:rsidR="00E450EA" w:rsidRDefault="00E450EA" w:rsidP="00E450EA">
            <w:pPr>
              <w:pStyle w:val="TableRowCentered"/>
              <w:ind w:left="0" w:right="0"/>
              <w:jc w:val="left"/>
              <w:rPr>
                <w:sz w:val="22"/>
              </w:rPr>
            </w:pPr>
            <w:r>
              <w:rPr>
                <w:sz w:val="22"/>
              </w:rPr>
              <w:t>3, 4, 5, 6</w:t>
            </w:r>
          </w:p>
        </w:tc>
      </w:tr>
      <w:tr w:rsidR="00E450EA" w14:paraId="583EC2DD" w14:textId="77777777" w:rsidTr="00BB3420">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C511" w14:textId="05E45925" w:rsidR="00795190" w:rsidRDefault="00795190" w:rsidP="00E450EA">
            <w:pPr>
              <w:pStyle w:val="TableRow"/>
              <w:ind w:left="0"/>
              <w:rPr>
                <w:sz w:val="20"/>
                <w:szCs w:val="20"/>
              </w:rPr>
            </w:pPr>
            <w:r>
              <w:rPr>
                <w:sz w:val="20"/>
                <w:szCs w:val="20"/>
              </w:rPr>
              <w:lastRenderedPageBreak/>
              <w:t>Widen the range of books available in class reading areas to encourage reading for pleasure.</w:t>
            </w:r>
          </w:p>
          <w:p w14:paraId="42D5721D" w14:textId="77777777" w:rsidR="00EF35EA" w:rsidRDefault="00EF35EA" w:rsidP="00E450EA">
            <w:pPr>
              <w:pStyle w:val="TableRow"/>
              <w:ind w:left="0"/>
              <w:rPr>
                <w:sz w:val="20"/>
                <w:szCs w:val="20"/>
              </w:rPr>
            </w:pPr>
          </w:p>
          <w:p w14:paraId="5BBA1D83" w14:textId="20BC0B57" w:rsidR="00E450EA" w:rsidRDefault="00E450EA" w:rsidP="00E450EA">
            <w:pPr>
              <w:pStyle w:val="TableRow"/>
              <w:ind w:left="0"/>
              <w:rPr>
                <w:sz w:val="20"/>
                <w:szCs w:val="20"/>
              </w:rPr>
            </w:pPr>
            <w:r>
              <w:rPr>
                <w:sz w:val="20"/>
                <w:szCs w:val="20"/>
              </w:rPr>
              <w:t>Termly books given to PPG children to develop vocabulary, build a love of reading and engage parents</w:t>
            </w:r>
          </w:p>
          <w:p w14:paraId="1DC53BFC" w14:textId="59B767B9" w:rsidR="00E450EA" w:rsidRPr="00EF35EA" w:rsidRDefault="00E450EA" w:rsidP="00EF35EA">
            <w:pPr>
              <w:pStyle w:val="TableRow"/>
              <w:ind w:left="0"/>
              <w:rPr>
                <w:sz w:val="20"/>
                <w:szCs w:val="20"/>
              </w:rPr>
            </w:pPr>
          </w:p>
        </w:tc>
        <w:tc>
          <w:tcPr>
            <w:tcW w:w="5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86FD7" w14:textId="77777777" w:rsidR="00E450EA" w:rsidRPr="00554D8E" w:rsidRDefault="00E450EA" w:rsidP="00E450EA">
            <w:pPr>
              <w:pStyle w:val="TableRowCentered"/>
              <w:jc w:val="left"/>
              <w:rPr>
                <w:sz w:val="20"/>
              </w:rPr>
            </w:pPr>
            <w:r w:rsidRPr="00554D8E">
              <w:rPr>
                <w:sz w:val="20"/>
              </w:rPr>
              <w:t>Open University Reading for Pleasure guidance on the impact of building reading communities</w:t>
            </w:r>
          </w:p>
          <w:p w14:paraId="4AB77D25" w14:textId="77777777" w:rsidR="00E450EA" w:rsidRPr="00554D8E" w:rsidRDefault="001E1467" w:rsidP="00E450EA">
            <w:pPr>
              <w:pStyle w:val="TableRowCentered"/>
              <w:jc w:val="left"/>
              <w:rPr>
                <w:sz w:val="20"/>
              </w:rPr>
            </w:pPr>
            <w:hyperlink r:id="rId24" w:history="1">
              <w:r w:rsidR="00E450EA" w:rsidRPr="00554D8E">
                <w:rPr>
                  <w:rStyle w:val="Hyperlink"/>
                  <w:sz w:val="20"/>
                </w:rPr>
                <w:t>https://cdn.ourfp.org/wp-content/uploads/20210205173235/Reading_communities_</w:t>
              </w:r>
            </w:hyperlink>
          </w:p>
          <w:p w14:paraId="7C48DFCF" w14:textId="77777777" w:rsidR="00E450EA" w:rsidRPr="00C5143B" w:rsidRDefault="00E450EA" w:rsidP="00E450EA">
            <w:pPr>
              <w:pStyle w:val="TableRowCentered"/>
              <w:jc w:val="left"/>
              <w:rPr>
                <w:color w:val="1A1498"/>
                <w:sz w:val="20"/>
                <w:u w:val="single"/>
              </w:rPr>
            </w:pPr>
            <w:proofErr w:type="gramStart"/>
            <w:r w:rsidRPr="00C5143B">
              <w:rPr>
                <w:color w:val="1A1498"/>
                <w:sz w:val="20"/>
                <w:u w:val="single"/>
              </w:rPr>
              <w:t>More_research_details1-1.pdf?_</w:t>
            </w:r>
            <w:proofErr w:type="gramEnd"/>
            <w:r w:rsidRPr="00C5143B">
              <w:rPr>
                <w:color w:val="1A1498"/>
                <w:sz w:val="20"/>
                <w:u w:val="single"/>
              </w:rPr>
              <w:t>ga=2.240705859.1701496</w:t>
            </w:r>
          </w:p>
          <w:p w14:paraId="12BF1392" w14:textId="77777777" w:rsidR="00E450EA" w:rsidRPr="00C5143B" w:rsidRDefault="00E450EA" w:rsidP="00E450EA">
            <w:pPr>
              <w:pStyle w:val="TableRowCentered"/>
              <w:jc w:val="left"/>
              <w:rPr>
                <w:color w:val="1A1498"/>
                <w:sz w:val="20"/>
                <w:u w:val="single"/>
              </w:rPr>
            </w:pPr>
            <w:r w:rsidRPr="00C5143B">
              <w:rPr>
                <w:color w:val="1A1498"/>
                <w:sz w:val="20"/>
                <w:u w:val="single"/>
              </w:rPr>
              <w:t>747.17029911552042725191.1699962287&amp;_gl=1*1usscbs*_</w:t>
            </w:r>
          </w:p>
          <w:p w14:paraId="475E75D2" w14:textId="77777777" w:rsidR="00E450EA" w:rsidRPr="00C5143B" w:rsidRDefault="00E450EA" w:rsidP="00E450EA">
            <w:pPr>
              <w:pStyle w:val="TableRowCentered"/>
              <w:jc w:val="left"/>
              <w:rPr>
                <w:color w:val="1A1498"/>
                <w:sz w:val="20"/>
                <w:u w:val="single"/>
              </w:rPr>
            </w:pPr>
            <w:proofErr w:type="spellStart"/>
            <w:r w:rsidRPr="00C5143B">
              <w:rPr>
                <w:color w:val="1A1498"/>
                <w:sz w:val="20"/>
                <w:u w:val="single"/>
              </w:rPr>
              <w:t>ga</w:t>
            </w:r>
            <w:proofErr w:type="spellEnd"/>
            <w:r w:rsidRPr="00C5143B">
              <w:rPr>
                <w:color w:val="1A1498"/>
                <w:sz w:val="20"/>
                <w:u w:val="single"/>
              </w:rPr>
              <w:t>*MjA0MjcyNTE5MS4xNjk5OTYyMjg3*_ga_56HENEGN4V*</w:t>
            </w:r>
          </w:p>
          <w:p w14:paraId="329B04AB" w14:textId="0DDAD275" w:rsidR="00E450EA" w:rsidRDefault="00E450EA" w:rsidP="00E450EA">
            <w:pPr>
              <w:pStyle w:val="TableRowCentered"/>
              <w:ind w:left="0" w:right="0"/>
              <w:jc w:val="left"/>
              <w:rPr>
                <w:sz w:val="22"/>
              </w:rPr>
            </w:pPr>
            <w:r w:rsidRPr="00C5143B">
              <w:rPr>
                <w:color w:val="1A1498"/>
                <w:sz w:val="20"/>
                <w:u w:val="single"/>
              </w:rPr>
              <w:t>MTcwMjk5MTE1NC4yLjEuMTcwMjk5MTE3OC4</w:t>
            </w:r>
            <w:proofErr w:type="gramStart"/>
            <w:r w:rsidRPr="00C5143B">
              <w:rPr>
                <w:color w:val="1A1498"/>
                <w:sz w:val="20"/>
                <w:u w:val="single"/>
              </w:rPr>
              <w:t>wLjAuMA..</w:t>
            </w:r>
            <w:proofErr w:type="gramEnd"/>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F0F6" w14:textId="1EC88BD4" w:rsidR="00E450EA" w:rsidRDefault="00E450EA" w:rsidP="00E450EA">
            <w:pPr>
              <w:pStyle w:val="TableRowCentered"/>
              <w:ind w:left="0" w:right="0"/>
              <w:jc w:val="left"/>
              <w:rPr>
                <w:sz w:val="22"/>
              </w:rPr>
            </w:pPr>
            <w:r>
              <w:rPr>
                <w:sz w:val="22"/>
              </w:rPr>
              <w:t>2, 3, 5, 6</w:t>
            </w:r>
          </w:p>
        </w:tc>
      </w:tr>
    </w:tbl>
    <w:p w14:paraId="2A7D5540" w14:textId="77777777" w:rsidR="00E66558" w:rsidRDefault="00E66558">
      <w:pPr>
        <w:spacing w:before="240" w:after="0"/>
        <w:rPr>
          <w:b/>
          <w:bCs/>
          <w:color w:val="104F75"/>
          <w:sz w:val="28"/>
          <w:szCs w:val="28"/>
        </w:rPr>
      </w:pPr>
    </w:p>
    <w:p w14:paraId="2A7D5541" w14:textId="39C02B8A" w:rsidR="00E66558" w:rsidRDefault="009D71E8" w:rsidP="00120AB1">
      <w:r>
        <w:rPr>
          <w:b/>
          <w:bCs/>
          <w:color w:val="104F75"/>
          <w:sz w:val="28"/>
          <w:szCs w:val="28"/>
        </w:rPr>
        <w:t xml:space="preserve">Total budgeted cost: £ </w:t>
      </w:r>
      <w:r w:rsidR="00756E60" w:rsidRPr="00756E60">
        <w:rPr>
          <w:i/>
          <w:iCs/>
          <w:color w:val="104F75"/>
          <w:sz w:val="32"/>
          <w:szCs w:val="28"/>
        </w:rPr>
        <w:t>69,545</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C392D0" w14:textId="77777777" w:rsidR="00D0689E" w:rsidRDefault="00D0689E" w:rsidP="009B7433">
            <w:pPr>
              <w:rPr>
                <w:i/>
                <w:iCs/>
                <w:color w:val="000000"/>
              </w:rPr>
            </w:pPr>
          </w:p>
          <w:tbl>
            <w:tblPr>
              <w:tblStyle w:val="TableGrid"/>
              <w:tblW w:w="0" w:type="auto"/>
              <w:tblLook w:val="04A0" w:firstRow="1" w:lastRow="0" w:firstColumn="1" w:lastColumn="0" w:noHBand="0" w:noVBand="1"/>
            </w:tblPr>
            <w:tblGrid>
              <w:gridCol w:w="3419"/>
              <w:gridCol w:w="5848"/>
            </w:tblGrid>
            <w:tr w:rsidR="00085F35" w14:paraId="428AEDD4" w14:textId="77777777" w:rsidTr="00D8469C">
              <w:tc>
                <w:tcPr>
                  <w:tcW w:w="3419" w:type="dxa"/>
                </w:tcPr>
                <w:p w14:paraId="6B6BA9C8" w14:textId="3DA5DD8F" w:rsidR="00085F35" w:rsidRDefault="00085F35" w:rsidP="00085F35">
                  <w:pPr>
                    <w:rPr>
                      <w:i/>
                      <w:iCs/>
                      <w:color w:val="000000"/>
                    </w:rPr>
                  </w:pPr>
                  <w:r>
                    <w:rPr>
                      <w:rFonts w:cs="Arial"/>
                      <w:b/>
                      <w:bCs/>
                      <w:color w:val="404040"/>
                      <w:sz w:val="20"/>
                      <w:szCs w:val="20"/>
                    </w:rPr>
                    <w:t>Aims and Priorities</w:t>
                  </w:r>
                  <w:r w:rsidRPr="00E27E0E">
                    <w:rPr>
                      <w:rFonts w:cs="Arial"/>
                      <w:b/>
                      <w:bCs/>
                      <w:color w:val="404040"/>
                      <w:sz w:val="20"/>
                      <w:szCs w:val="20"/>
                    </w:rPr>
                    <w:t>:</w:t>
                  </w:r>
                </w:p>
              </w:tc>
              <w:tc>
                <w:tcPr>
                  <w:tcW w:w="5848" w:type="dxa"/>
                </w:tcPr>
                <w:p w14:paraId="1F3189E6" w14:textId="430C4F89" w:rsidR="00085F35" w:rsidRDefault="00085F35" w:rsidP="00085F35">
                  <w:pPr>
                    <w:jc w:val="center"/>
                    <w:rPr>
                      <w:rFonts w:cs="Arial"/>
                      <w:b/>
                      <w:sz w:val="20"/>
                      <w:szCs w:val="20"/>
                    </w:rPr>
                  </w:pPr>
                  <w:r>
                    <w:rPr>
                      <w:rFonts w:cs="Arial"/>
                      <w:b/>
                      <w:sz w:val="20"/>
                      <w:szCs w:val="20"/>
                    </w:rPr>
                    <w:t xml:space="preserve">Summary of </w:t>
                  </w:r>
                  <w:r w:rsidRPr="00C859C4">
                    <w:rPr>
                      <w:rFonts w:cs="Arial"/>
                      <w:b/>
                      <w:sz w:val="20"/>
                      <w:szCs w:val="20"/>
                    </w:rPr>
                    <w:t>Pupil P</w:t>
                  </w:r>
                  <w:r>
                    <w:rPr>
                      <w:rFonts w:cs="Arial"/>
                      <w:b/>
                      <w:sz w:val="20"/>
                      <w:szCs w:val="20"/>
                    </w:rPr>
                    <w:t>remium Strategy Planned</w:t>
                  </w:r>
                </w:p>
                <w:p w14:paraId="1C5D4E20" w14:textId="4A83F2F4" w:rsidR="00085F35" w:rsidRDefault="00085F35" w:rsidP="00085F35">
                  <w:pPr>
                    <w:jc w:val="center"/>
                    <w:rPr>
                      <w:i/>
                      <w:iCs/>
                      <w:color w:val="000000"/>
                    </w:rPr>
                  </w:pPr>
                  <w:r>
                    <w:rPr>
                      <w:rFonts w:cs="Arial"/>
                      <w:b/>
                      <w:sz w:val="20"/>
                      <w:szCs w:val="20"/>
                    </w:rPr>
                    <w:t>Completed Actions and Impact</w:t>
                  </w:r>
                </w:p>
              </w:tc>
            </w:tr>
            <w:tr w:rsidR="00085F35" w14:paraId="362D1806" w14:textId="77777777" w:rsidTr="00D8469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66D2AD70" w14:textId="5AA26F96" w:rsidR="00085F35" w:rsidRDefault="00085F35" w:rsidP="00085F35">
                  <w:pPr>
                    <w:rPr>
                      <w:i/>
                      <w:iCs/>
                      <w:color w:val="000000"/>
                    </w:rPr>
                  </w:pPr>
                  <w:r w:rsidRPr="00AE2088">
                    <w:rPr>
                      <w:rFonts w:cs="Arial"/>
                      <w:sz w:val="20"/>
                      <w:szCs w:val="20"/>
                    </w:rPr>
                    <w:t>To further reduce the % of persistent absences and improve attendance.</w:t>
                  </w:r>
                </w:p>
              </w:tc>
              <w:tc>
                <w:tcPr>
                  <w:tcW w:w="5848" w:type="dxa"/>
                </w:tcPr>
                <w:p w14:paraId="225133C1" w14:textId="4C8E758E" w:rsidR="00085F35" w:rsidRPr="004629A6" w:rsidRDefault="00085F35" w:rsidP="00085F35">
                  <w:pPr>
                    <w:rPr>
                      <w:iCs/>
                      <w:color w:val="000000"/>
                      <w:sz w:val="20"/>
                    </w:rPr>
                  </w:pPr>
                  <w:r w:rsidRPr="004629A6">
                    <w:rPr>
                      <w:iCs/>
                      <w:color w:val="000000"/>
                      <w:sz w:val="20"/>
                    </w:rPr>
                    <w:t xml:space="preserve">Attendance PP </w:t>
                  </w:r>
                  <w:r w:rsidR="00C50FEF">
                    <w:rPr>
                      <w:iCs/>
                      <w:color w:val="000000"/>
                      <w:sz w:val="20"/>
                    </w:rPr>
                    <w:t>96.5%</w:t>
                  </w:r>
                </w:p>
                <w:p w14:paraId="203B392C" w14:textId="0547EC52" w:rsidR="00085F35" w:rsidRPr="004629A6" w:rsidRDefault="00085F35" w:rsidP="00085F35">
                  <w:pPr>
                    <w:rPr>
                      <w:iCs/>
                      <w:color w:val="000000"/>
                      <w:sz w:val="20"/>
                    </w:rPr>
                  </w:pPr>
                  <w:r w:rsidRPr="004629A6">
                    <w:rPr>
                      <w:iCs/>
                      <w:color w:val="000000"/>
                      <w:sz w:val="20"/>
                    </w:rPr>
                    <w:t xml:space="preserve">Attendance </w:t>
                  </w:r>
                  <w:proofErr w:type="gramStart"/>
                  <w:r w:rsidRPr="004629A6">
                    <w:rPr>
                      <w:iCs/>
                      <w:color w:val="000000"/>
                      <w:sz w:val="20"/>
                    </w:rPr>
                    <w:t>Non PP</w:t>
                  </w:r>
                  <w:proofErr w:type="gramEnd"/>
                  <w:r w:rsidR="00C50FEF">
                    <w:rPr>
                      <w:iCs/>
                      <w:color w:val="000000"/>
                      <w:sz w:val="20"/>
                    </w:rPr>
                    <w:t xml:space="preserve"> 91.6%</w:t>
                  </w:r>
                </w:p>
                <w:p w14:paraId="3B549035" w14:textId="559D328C" w:rsidR="00085F35" w:rsidRPr="008C1217" w:rsidRDefault="00085F35" w:rsidP="00085F35">
                  <w:pPr>
                    <w:spacing w:before="100" w:beforeAutospacing="1" w:after="135" w:line="240" w:lineRule="auto"/>
                    <w:rPr>
                      <w:rFonts w:cs="Arial"/>
                      <w:iCs/>
                      <w:sz w:val="20"/>
                      <w:szCs w:val="20"/>
                    </w:rPr>
                  </w:pPr>
                  <w:r>
                    <w:rPr>
                      <w:rFonts w:cs="Arial"/>
                      <w:iCs/>
                      <w:sz w:val="20"/>
                      <w:szCs w:val="20"/>
                    </w:rPr>
                    <w:t>Close monitoring of absence and punctuality, tiered letters alongside clear, regular communication of expectations regarding absence in school time. Learning mentor time and actions were provided to support attendance and wellbeing for individual children.</w:t>
                  </w:r>
                </w:p>
              </w:tc>
            </w:tr>
            <w:tr w:rsidR="00085F35" w14:paraId="0FC8AAC2" w14:textId="77777777" w:rsidTr="00D8469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7AFF5EB1" w14:textId="249FB1D3" w:rsidR="00085F35" w:rsidRDefault="00085F35" w:rsidP="00085F35">
                  <w:pPr>
                    <w:rPr>
                      <w:i/>
                      <w:iCs/>
                      <w:color w:val="000000"/>
                    </w:rPr>
                  </w:pPr>
                  <w:r>
                    <w:rPr>
                      <w:rFonts w:cs="Arial"/>
                      <w:sz w:val="20"/>
                      <w:szCs w:val="20"/>
                    </w:rPr>
                    <w:t>To resolve underlying SALT difficulties that prevent pupils from accessing the full curriculum</w:t>
                  </w:r>
                </w:p>
              </w:tc>
              <w:tc>
                <w:tcPr>
                  <w:tcW w:w="5848" w:type="dxa"/>
                </w:tcPr>
                <w:p w14:paraId="2B6D181E" w14:textId="4F1A8E8A" w:rsidR="00085F35" w:rsidRDefault="00085F35" w:rsidP="00085F35">
                  <w:pPr>
                    <w:spacing w:before="100" w:beforeAutospacing="1" w:after="135" w:line="240" w:lineRule="auto"/>
                    <w:rPr>
                      <w:rFonts w:cs="Arial"/>
                      <w:iCs/>
                      <w:sz w:val="20"/>
                      <w:szCs w:val="20"/>
                    </w:rPr>
                  </w:pPr>
                  <w:r>
                    <w:rPr>
                      <w:rFonts w:cs="Arial"/>
                      <w:iCs/>
                      <w:sz w:val="20"/>
                      <w:szCs w:val="20"/>
                    </w:rPr>
                    <w:t xml:space="preserve">SALT support continued weekly for identified children using the external speech and Language therapist and LSA trained in </w:t>
                  </w:r>
                  <w:proofErr w:type="spellStart"/>
                  <w:r>
                    <w:rPr>
                      <w:rFonts w:cs="Arial"/>
                      <w:iCs/>
                      <w:sz w:val="20"/>
                      <w:szCs w:val="20"/>
                    </w:rPr>
                    <w:t>Wellcomm</w:t>
                  </w:r>
                  <w:proofErr w:type="spellEnd"/>
                  <w:r>
                    <w:rPr>
                      <w:rFonts w:cs="Arial"/>
                      <w:iCs/>
                      <w:sz w:val="20"/>
                      <w:szCs w:val="20"/>
                    </w:rPr>
                    <w:t xml:space="preserve"> and </w:t>
                  </w:r>
                  <w:proofErr w:type="spellStart"/>
                  <w:r>
                    <w:rPr>
                      <w:rFonts w:cs="Arial"/>
                      <w:iCs/>
                      <w:sz w:val="20"/>
                      <w:szCs w:val="20"/>
                    </w:rPr>
                    <w:t>Elklan</w:t>
                  </w:r>
                  <w:proofErr w:type="spellEnd"/>
                  <w:r>
                    <w:rPr>
                      <w:rFonts w:cs="Arial"/>
                      <w:iCs/>
                      <w:sz w:val="20"/>
                      <w:szCs w:val="20"/>
                    </w:rPr>
                    <w:t xml:space="preserve">. </w:t>
                  </w:r>
                </w:p>
                <w:p w14:paraId="7FAC37DB" w14:textId="77777777" w:rsidR="006010C7" w:rsidRDefault="006010C7" w:rsidP="00085F35">
                  <w:pPr>
                    <w:spacing w:before="100" w:beforeAutospacing="1" w:after="135" w:line="240" w:lineRule="auto"/>
                    <w:rPr>
                      <w:rFonts w:cs="Arial"/>
                      <w:iCs/>
                      <w:sz w:val="20"/>
                      <w:szCs w:val="20"/>
                    </w:rPr>
                  </w:pPr>
                  <w:r>
                    <w:rPr>
                      <w:rFonts w:cs="Arial"/>
                      <w:iCs/>
                      <w:sz w:val="20"/>
                      <w:szCs w:val="20"/>
                    </w:rPr>
                    <w:t xml:space="preserve">Use of focused time in the afternoon for LSAs to deliver targeted interventions. </w:t>
                  </w:r>
                  <w:r w:rsidR="00085F35" w:rsidRPr="00D56DCD">
                    <w:rPr>
                      <w:rFonts w:cs="Arial"/>
                      <w:iCs/>
                      <w:sz w:val="20"/>
                      <w:szCs w:val="20"/>
                    </w:rPr>
                    <w:t xml:space="preserve">Data analysis and PPM’s identifies those pupils in need of additional support. </w:t>
                  </w:r>
                </w:p>
                <w:p w14:paraId="309669F8" w14:textId="77777777" w:rsidR="006010C7" w:rsidRDefault="00085F35" w:rsidP="00085F35">
                  <w:pPr>
                    <w:spacing w:before="100" w:beforeAutospacing="1" w:after="135" w:line="240" w:lineRule="auto"/>
                    <w:rPr>
                      <w:rFonts w:cs="Arial"/>
                      <w:iCs/>
                      <w:sz w:val="20"/>
                      <w:szCs w:val="20"/>
                    </w:rPr>
                  </w:pPr>
                  <w:r w:rsidRPr="00D56DCD">
                    <w:rPr>
                      <w:rFonts w:cs="Arial"/>
                      <w:iCs/>
                      <w:sz w:val="20"/>
                      <w:szCs w:val="20"/>
                    </w:rPr>
                    <w:t xml:space="preserve">All LSAs </w:t>
                  </w:r>
                  <w:r>
                    <w:rPr>
                      <w:rFonts w:cs="Arial"/>
                      <w:iCs/>
                      <w:sz w:val="20"/>
                      <w:szCs w:val="20"/>
                    </w:rPr>
                    <w:t>have been</w:t>
                  </w:r>
                  <w:r w:rsidRPr="00D56DCD">
                    <w:rPr>
                      <w:rFonts w:cs="Arial"/>
                      <w:iCs/>
                      <w:sz w:val="20"/>
                      <w:szCs w:val="20"/>
                    </w:rPr>
                    <w:t xml:space="preserve"> trained in</w:t>
                  </w:r>
                  <w:r>
                    <w:rPr>
                      <w:rFonts w:cs="Arial"/>
                      <w:iCs/>
                      <w:sz w:val="20"/>
                      <w:szCs w:val="20"/>
                    </w:rPr>
                    <w:t xml:space="preserve"> WRM Fluency Bee resources, </w:t>
                  </w:r>
                  <w:r w:rsidR="00DD5869">
                    <w:rPr>
                      <w:rFonts w:cs="Arial"/>
                      <w:iCs/>
                      <w:sz w:val="20"/>
                      <w:szCs w:val="20"/>
                    </w:rPr>
                    <w:t>pre-teaching</w:t>
                  </w:r>
                  <w:r>
                    <w:rPr>
                      <w:rFonts w:cs="Arial"/>
                      <w:iCs/>
                      <w:sz w:val="20"/>
                      <w:szCs w:val="20"/>
                    </w:rPr>
                    <w:t xml:space="preserve">, </w:t>
                  </w:r>
                  <w:r w:rsidRPr="00D56DCD">
                    <w:rPr>
                      <w:rFonts w:cs="Arial"/>
                      <w:iCs/>
                      <w:sz w:val="20"/>
                      <w:szCs w:val="20"/>
                    </w:rPr>
                    <w:t>precision teaching</w:t>
                  </w:r>
                  <w:r>
                    <w:rPr>
                      <w:rFonts w:cs="Arial"/>
                      <w:iCs/>
                      <w:sz w:val="20"/>
                      <w:szCs w:val="20"/>
                    </w:rPr>
                    <w:t xml:space="preserve"> and</w:t>
                  </w:r>
                  <w:r w:rsidRPr="00D56DCD">
                    <w:rPr>
                      <w:rFonts w:cs="Arial"/>
                      <w:iCs/>
                      <w:sz w:val="20"/>
                      <w:szCs w:val="20"/>
                    </w:rPr>
                    <w:t xml:space="preserve"> ELS phonics scheme for interventions to aid retention. </w:t>
                  </w:r>
                </w:p>
                <w:p w14:paraId="01C61359" w14:textId="77777777" w:rsidR="00ED7ADD" w:rsidRDefault="00085F35" w:rsidP="00085F35">
                  <w:pPr>
                    <w:spacing w:before="100" w:beforeAutospacing="1" w:after="135" w:line="240" w:lineRule="auto"/>
                    <w:rPr>
                      <w:rFonts w:cs="Arial"/>
                      <w:iCs/>
                      <w:sz w:val="20"/>
                      <w:szCs w:val="20"/>
                    </w:rPr>
                  </w:pPr>
                  <w:r w:rsidRPr="00D56DCD">
                    <w:rPr>
                      <w:rFonts w:cs="Arial"/>
                      <w:iCs/>
                      <w:sz w:val="20"/>
                      <w:szCs w:val="20"/>
                    </w:rPr>
                    <w:t xml:space="preserve">One LSA is trained in </w:t>
                  </w:r>
                  <w:proofErr w:type="spellStart"/>
                  <w:r w:rsidRPr="00D56DCD">
                    <w:rPr>
                      <w:rFonts w:cs="Arial"/>
                      <w:iCs/>
                      <w:sz w:val="20"/>
                      <w:szCs w:val="20"/>
                    </w:rPr>
                    <w:t>Elklan</w:t>
                  </w:r>
                  <w:proofErr w:type="spellEnd"/>
                  <w:r>
                    <w:rPr>
                      <w:rFonts w:cs="Arial"/>
                      <w:iCs/>
                      <w:sz w:val="20"/>
                      <w:szCs w:val="20"/>
                    </w:rPr>
                    <w:t xml:space="preserve"> and </w:t>
                  </w:r>
                  <w:proofErr w:type="spellStart"/>
                  <w:r>
                    <w:rPr>
                      <w:rFonts w:cs="Arial"/>
                      <w:iCs/>
                      <w:sz w:val="20"/>
                      <w:szCs w:val="20"/>
                    </w:rPr>
                    <w:t>Wellcomm</w:t>
                  </w:r>
                  <w:proofErr w:type="spellEnd"/>
                  <w:r w:rsidRPr="00D56DCD">
                    <w:rPr>
                      <w:rFonts w:cs="Arial"/>
                      <w:iCs/>
                      <w:sz w:val="20"/>
                      <w:szCs w:val="20"/>
                    </w:rPr>
                    <w:t xml:space="preserve"> training to enable early identification and support for pupils with SAL difficulties. All Reception children were screened using </w:t>
                  </w:r>
                  <w:proofErr w:type="spellStart"/>
                  <w:r w:rsidRPr="00D56DCD">
                    <w:rPr>
                      <w:rFonts w:cs="Arial"/>
                      <w:iCs/>
                      <w:sz w:val="20"/>
                      <w:szCs w:val="20"/>
                    </w:rPr>
                    <w:t>Wellcomm</w:t>
                  </w:r>
                  <w:proofErr w:type="spellEnd"/>
                  <w:r w:rsidRPr="00D56DCD">
                    <w:rPr>
                      <w:rFonts w:cs="Arial"/>
                      <w:iCs/>
                      <w:sz w:val="20"/>
                      <w:szCs w:val="20"/>
                    </w:rPr>
                    <w:t xml:space="preserve"> and gaps were targeted with interventions.</w:t>
                  </w:r>
                </w:p>
                <w:p w14:paraId="48DB32F4" w14:textId="42760889" w:rsidR="00085F35" w:rsidRDefault="00085F35" w:rsidP="00085F35">
                  <w:pPr>
                    <w:spacing w:before="100" w:beforeAutospacing="1" w:after="135" w:line="240" w:lineRule="auto"/>
                    <w:rPr>
                      <w:rFonts w:cs="Arial"/>
                      <w:iCs/>
                      <w:sz w:val="20"/>
                      <w:szCs w:val="20"/>
                    </w:rPr>
                  </w:pPr>
                  <w:r w:rsidRPr="00BC068B">
                    <w:rPr>
                      <w:rFonts w:cs="Arial"/>
                      <w:iCs/>
                      <w:sz w:val="20"/>
                      <w:szCs w:val="20"/>
                    </w:rPr>
                    <w:t>More than 50% of the cohort needed intervention. By Year 1, only four children with persistent speech and language difficulties continue to receive support.</w:t>
                  </w:r>
                </w:p>
                <w:p w14:paraId="31E09534" w14:textId="77777777" w:rsidR="00085F35" w:rsidRDefault="00085F35" w:rsidP="00085F35">
                  <w:pPr>
                    <w:rPr>
                      <w:i/>
                      <w:iCs/>
                      <w:color w:val="000000"/>
                    </w:rPr>
                  </w:pPr>
                </w:p>
              </w:tc>
            </w:tr>
            <w:tr w:rsidR="00085F35" w14:paraId="19636742" w14:textId="77777777" w:rsidTr="00D8469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204B972A" w14:textId="1D75A773" w:rsidR="00085F35" w:rsidRDefault="00085F35" w:rsidP="00085F35">
                  <w:pPr>
                    <w:rPr>
                      <w:i/>
                      <w:iCs/>
                      <w:color w:val="000000"/>
                    </w:rPr>
                  </w:pPr>
                  <w:r>
                    <w:rPr>
                      <w:rFonts w:cs="Arial"/>
                      <w:sz w:val="20"/>
                      <w:szCs w:val="20"/>
                    </w:rPr>
                    <w:t>To engage PPG families to understand how they can help their children in how to support their children at home particularly through reading to them and with them.</w:t>
                  </w:r>
                </w:p>
              </w:tc>
              <w:tc>
                <w:tcPr>
                  <w:tcW w:w="5848" w:type="dxa"/>
                </w:tcPr>
                <w:p w14:paraId="2FB16D32" w14:textId="7F56A21D" w:rsidR="00085F35" w:rsidRDefault="006010C7" w:rsidP="00085F35">
                  <w:pPr>
                    <w:spacing w:before="100" w:beforeAutospacing="1" w:after="135" w:line="240" w:lineRule="auto"/>
                    <w:rPr>
                      <w:rFonts w:cs="Arial"/>
                      <w:iCs/>
                      <w:sz w:val="20"/>
                      <w:szCs w:val="20"/>
                    </w:rPr>
                  </w:pPr>
                  <w:r>
                    <w:rPr>
                      <w:rFonts w:cs="Arial"/>
                      <w:iCs/>
                      <w:sz w:val="20"/>
                      <w:szCs w:val="20"/>
                    </w:rPr>
                    <w:t>Each half term, p</w:t>
                  </w:r>
                  <w:r w:rsidR="00085F35">
                    <w:rPr>
                      <w:rFonts w:cs="Arial"/>
                      <w:iCs/>
                      <w:sz w:val="20"/>
                      <w:szCs w:val="20"/>
                    </w:rPr>
                    <w:t xml:space="preserve">arental workshops </w:t>
                  </w:r>
                  <w:r>
                    <w:rPr>
                      <w:rFonts w:cs="Arial"/>
                      <w:iCs/>
                      <w:sz w:val="20"/>
                      <w:szCs w:val="20"/>
                    </w:rPr>
                    <w:t xml:space="preserve">have been held for all parents to support them with a wide range of topics including </w:t>
                  </w:r>
                  <w:r w:rsidR="00085F35">
                    <w:rPr>
                      <w:rFonts w:cs="Arial"/>
                      <w:iCs/>
                      <w:sz w:val="20"/>
                      <w:szCs w:val="20"/>
                    </w:rPr>
                    <w:t xml:space="preserve">phonics, reading, </w:t>
                  </w:r>
                  <w:proofErr w:type="spellStart"/>
                  <w:r>
                    <w:rPr>
                      <w:rFonts w:cs="Arial"/>
                      <w:iCs/>
                      <w:sz w:val="20"/>
                      <w:szCs w:val="20"/>
                    </w:rPr>
                    <w:t>easter</w:t>
                  </w:r>
                  <w:proofErr w:type="spellEnd"/>
                  <w:r>
                    <w:rPr>
                      <w:rFonts w:cs="Arial"/>
                      <w:iCs/>
                      <w:sz w:val="20"/>
                      <w:szCs w:val="20"/>
                    </w:rPr>
                    <w:t xml:space="preserve"> crafts, </w:t>
                  </w:r>
                  <w:r w:rsidR="00085F35">
                    <w:rPr>
                      <w:rFonts w:cs="Arial"/>
                      <w:iCs/>
                      <w:sz w:val="20"/>
                      <w:szCs w:val="20"/>
                    </w:rPr>
                    <w:t>online safety, maths, computing, science and Christmas crafts.</w:t>
                  </w:r>
                </w:p>
                <w:p w14:paraId="0EF2F310" w14:textId="77777777" w:rsidR="00085F35" w:rsidRDefault="00085F35" w:rsidP="00085F35">
                  <w:pPr>
                    <w:rPr>
                      <w:i/>
                      <w:iCs/>
                      <w:color w:val="000000"/>
                    </w:rPr>
                  </w:pPr>
                </w:p>
              </w:tc>
            </w:tr>
            <w:tr w:rsidR="00085F35" w14:paraId="000F0FE8" w14:textId="77777777" w:rsidTr="00D8469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157D1C88" w14:textId="45A5984E" w:rsidR="00085F35" w:rsidRDefault="00085F35" w:rsidP="00085F35">
                  <w:pPr>
                    <w:rPr>
                      <w:i/>
                      <w:iCs/>
                      <w:color w:val="000000"/>
                    </w:rPr>
                  </w:pPr>
                  <w:r>
                    <w:rPr>
                      <w:rFonts w:cs="Arial"/>
                      <w:sz w:val="20"/>
                      <w:szCs w:val="20"/>
                    </w:rPr>
                    <w:t>To</w:t>
                  </w:r>
                  <w:r w:rsidRPr="00AE2088">
                    <w:rPr>
                      <w:rFonts w:cs="Arial"/>
                      <w:sz w:val="20"/>
                      <w:szCs w:val="20"/>
                    </w:rPr>
                    <w:t xml:space="preserve"> raise attainment and </w:t>
                  </w:r>
                  <w:r>
                    <w:rPr>
                      <w:rFonts w:cs="Arial"/>
                      <w:sz w:val="20"/>
                      <w:szCs w:val="20"/>
                    </w:rPr>
                    <w:t xml:space="preserve">diminish the difference </w:t>
                  </w:r>
                  <w:r w:rsidRPr="00AE2088">
                    <w:rPr>
                      <w:rFonts w:cs="Arial"/>
                      <w:sz w:val="20"/>
                      <w:szCs w:val="20"/>
                    </w:rPr>
                    <w:t>between disadvantaged pupils and their peers.</w:t>
                  </w:r>
                </w:p>
              </w:tc>
              <w:tc>
                <w:tcPr>
                  <w:tcW w:w="5848" w:type="dxa"/>
                </w:tcPr>
                <w:p w14:paraId="01223A35" w14:textId="77777777" w:rsidR="00085F35" w:rsidRPr="004629A6" w:rsidRDefault="00085F35" w:rsidP="00085F35">
                  <w:pPr>
                    <w:spacing w:after="0" w:line="240" w:lineRule="auto"/>
                    <w:rPr>
                      <w:iCs/>
                      <w:color w:val="000000"/>
                      <w:sz w:val="20"/>
                    </w:rPr>
                  </w:pPr>
                  <w:r w:rsidRPr="004629A6">
                    <w:rPr>
                      <w:iCs/>
                      <w:color w:val="000000"/>
                      <w:sz w:val="20"/>
                    </w:rPr>
                    <w:t>EYFS GLD PP  0% (3 children)</w:t>
                  </w:r>
                </w:p>
                <w:p w14:paraId="191FC139" w14:textId="098A0B31" w:rsidR="00085F35" w:rsidRPr="004629A6" w:rsidRDefault="00085F35" w:rsidP="00085F35">
                  <w:pPr>
                    <w:spacing w:after="0" w:line="240" w:lineRule="auto"/>
                    <w:rPr>
                      <w:iCs/>
                      <w:color w:val="000000"/>
                      <w:sz w:val="20"/>
                    </w:rPr>
                  </w:pPr>
                  <w:r w:rsidRPr="004629A6">
                    <w:rPr>
                      <w:iCs/>
                      <w:color w:val="000000"/>
                      <w:sz w:val="20"/>
                    </w:rPr>
                    <w:t xml:space="preserve">EYFS GLD </w:t>
                  </w:r>
                  <w:proofErr w:type="gramStart"/>
                  <w:r w:rsidRPr="004629A6">
                    <w:rPr>
                      <w:iCs/>
                      <w:color w:val="000000"/>
                      <w:sz w:val="20"/>
                    </w:rPr>
                    <w:t>Non PP</w:t>
                  </w:r>
                  <w:proofErr w:type="gramEnd"/>
                  <w:r w:rsidRPr="004629A6">
                    <w:rPr>
                      <w:iCs/>
                      <w:color w:val="000000"/>
                      <w:sz w:val="20"/>
                    </w:rPr>
                    <w:t xml:space="preserve"> 80% (23 children)</w:t>
                  </w:r>
                </w:p>
                <w:p w14:paraId="0FDBFDD7" w14:textId="77777777" w:rsidR="00085F35" w:rsidRPr="004629A6" w:rsidRDefault="00085F35" w:rsidP="00085F35">
                  <w:pPr>
                    <w:spacing w:after="0" w:line="240" w:lineRule="auto"/>
                    <w:rPr>
                      <w:iCs/>
                      <w:color w:val="000000"/>
                      <w:sz w:val="20"/>
                    </w:rPr>
                  </w:pPr>
                </w:p>
                <w:p w14:paraId="72446380" w14:textId="77777777" w:rsidR="00085F35" w:rsidRPr="004629A6" w:rsidRDefault="00085F35" w:rsidP="00085F35">
                  <w:pPr>
                    <w:spacing w:after="0" w:line="240" w:lineRule="auto"/>
                    <w:rPr>
                      <w:iCs/>
                      <w:color w:val="000000"/>
                      <w:sz w:val="20"/>
                    </w:rPr>
                  </w:pPr>
                  <w:r w:rsidRPr="004629A6">
                    <w:rPr>
                      <w:iCs/>
                      <w:color w:val="000000"/>
                      <w:sz w:val="20"/>
                    </w:rPr>
                    <w:t>Phonics PP 100% (1 child)</w:t>
                  </w:r>
                </w:p>
                <w:p w14:paraId="44AA08E4" w14:textId="34903A44" w:rsidR="00085F35" w:rsidRPr="004629A6" w:rsidRDefault="00085F35" w:rsidP="00085F35">
                  <w:pPr>
                    <w:spacing w:after="0" w:line="240" w:lineRule="auto"/>
                    <w:rPr>
                      <w:iCs/>
                      <w:color w:val="000000"/>
                      <w:sz w:val="20"/>
                    </w:rPr>
                  </w:pPr>
                  <w:r w:rsidRPr="004629A6">
                    <w:rPr>
                      <w:iCs/>
                      <w:color w:val="000000"/>
                      <w:sz w:val="20"/>
                    </w:rPr>
                    <w:t xml:space="preserve">Phonics </w:t>
                  </w:r>
                  <w:proofErr w:type="gramStart"/>
                  <w:r w:rsidRPr="004629A6">
                    <w:rPr>
                      <w:iCs/>
                      <w:color w:val="000000"/>
                      <w:sz w:val="20"/>
                    </w:rPr>
                    <w:t>non PP</w:t>
                  </w:r>
                  <w:proofErr w:type="gramEnd"/>
                  <w:r w:rsidRPr="004629A6">
                    <w:rPr>
                      <w:iCs/>
                      <w:color w:val="000000"/>
                      <w:sz w:val="20"/>
                    </w:rPr>
                    <w:t xml:space="preserve">  84%</w:t>
                  </w:r>
                </w:p>
                <w:p w14:paraId="1C181F8B" w14:textId="77777777" w:rsidR="00085F35" w:rsidRPr="004629A6" w:rsidRDefault="00085F35" w:rsidP="00085F35">
                  <w:pPr>
                    <w:spacing w:after="0" w:line="240" w:lineRule="auto"/>
                    <w:rPr>
                      <w:iCs/>
                      <w:color w:val="000000"/>
                      <w:sz w:val="20"/>
                    </w:rPr>
                  </w:pPr>
                </w:p>
                <w:p w14:paraId="4A23FDE6" w14:textId="77777777" w:rsidR="00085F35" w:rsidRPr="004629A6" w:rsidRDefault="00085F35" w:rsidP="00085F35">
                  <w:pPr>
                    <w:spacing w:after="0" w:line="240" w:lineRule="auto"/>
                    <w:rPr>
                      <w:iCs/>
                      <w:color w:val="000000"/>
                      <w:sz w:val="20"/>
                    </w:rPr>
                  </w:pPr>
                  <w:r w:rsidRPr="004629A6">
                    <w:rPr>
                      <w:iCs/>
                      <w:color w:val="000000"/>
                      <w:sz w:val="20"/>
                    </w:rPr>
                    <w:t>MTC Average score PP 11.2/25 (5 children)</w:t>
                  </w:r>
                </w:p>
                <w:p w14:paraId="61D0500C" w14:textId="1618E9F3" w:rsidR="00085F35" w:rsidRPr="004629A6" w:rsidRDefault="00085F35" w:rsidP="00085F35">
                  <w:pPr>
                    <w:spacing w:after="0" w:line="240" w:lineRule="auto"/>
                    <w:rPr>
                      <w:iCs/>
                      <w:color w:val="000000"/>
                      <w:sz w:val="20"/>
                    </w:rPr>
                  </w:pPr>
                  <w:r w:rsidRPr="004629A6">
                    <w:rPr>
                      <w:iCs/>
                      <w:color w:val="000000"/>
                      <w:sz w:val="20"/>
                    </w:rPr>
                    <w:lastRenderedPageBreak/>
                    <w:t xml:space="preserve">MTC Average score </w:t>
                  </w:r>
                  <w:proofErr w:type="gramStart"/>
                  <w:r w:rsidRPr="004629A6">
                    <w:rPr>
                      <w:iCs/>
                      <w:color w:val="000000"/>
                      <w:sz w:val="20"/>
                    </w:rPr>
                    <w:t>non PP</w:t>
                  </w:r>
                  <w:proofErr w:type="gramEnd"/>
                  <w:r w:rsidRPr="004629A6">
                    <w:rPr>
                      <w:iCs/>
                      <w:color w:val="000000"/>
                      <w:sz w:val="20"/>
                    </w:rPr>
                    <w:t xml:space="preserve"> 18.3/25 (24 children)</w:t>
                  </w:r>
                </w:p>
                <w:p w14:paraId="54D3C7FF" w14:textId="77777777" w:rsidR="00085F35" w:rsidRPr="004629A6" w:rsidRDefault="00085F35" w:rsidP="00085F35">
                  <w:pPr>
                    <w:spacing w:after="0" w:line="240" w:lineRule="auto"/>
                    <w:rPr>
                      <w:iCs/>
                      <w:color w:val="000000"/>
                      <w:sz w:val="20"/>
                    </w:rPr>
                  </w:pPr>
                </w:p>
                <w:tbl>
                  <w:tblPr>
                    <w:tblStyle w:val="TableGrid"/>
                    <w:tblW w:w="0" w:type="auto"/>
                    <w:tblLook w:val="04A0" w:firstRow="1" w:lastRow="0" w:firstColumn="1" w:lastColumn="0" w:noHBand="0" w:noVBand="1"/>
                  </w:tblPr>
                  <w:tblGrid>
                    <w:gridCol w:w="1866"/>
                    <w:gridCol w:w="1878"/>
                    <w:gridCol w:w="1878"/>
                  </w:tblGrid>
                  <w:tr w:rsidR="00085F35" w:rsidRPr="004629A6" w14:paraId="3585BFCC" w14:textId="77777777" w:rsidTr="00D56DCD">
                    <w:tc>
                      <w:tcPr>
                        <w:tcW w:w="3089" w:type="dxa"/>
                        <w:tcBorders>
                          <w:bottom w:val="single" w:sz="4" w:space="0" w:color="auto"/>
                        </w:tcBorders>
                        <w:shd w:val="clear" w:color="auto" w:fill="D9D9D9" w:themeFill="background1" w:themeFillShade="D9"/>
                      </w:tcPr>
                      <w:p w14:paraId="0F9BC0FE" w14:textId="77777777" w:rsidR="00085F35" w:rsidRPr="004629A6" w:rsidRDefault="00085F35" w:rsidP="00085F35">
                        <w:pPr>
                          <w:rPr>
                            <w:iCs/>
                            <w:color w:val="000000"/>
                            <w:sz w:val="20"/>
                          </w:rPr>
                        </w:pPr>
                        <w:r w:rsidRPr="004629A6">
                          <w:rPr>
                            <w:iCs/>
                            <w:color w:val="000000"/>
                            <w:sz w:val="20"/>
                          </w:rPr>
                          <w:t>KS2 results</w:t>
                        </w:r>
                      </w:p>
                    </w:tc>
                    <w:tc>
                      <w:tcPr>
                        <w:tcW w:w="3089" w:type="dxa"/>
                        <w:shd w:val="clear" w:color="auto" w:fill="D9D9D9" w:themeFill="background1" w:themeFillShade="D9"/>
                      </w:tcPr>
                      <w:p w14:paraId="65478193" w14:textId="77777777" w:rsidR="00085F35" w:rsidRPr="004629A6" w:rsidRDefault="00085F35" w:rsidP="00085F35">
                        <w:pPr>
                          <w:rPr>
                            <w:iCs/>
                            <w:color w:val="000000"/>
                            <w:sz w:val="20"/>
                          </w:rPr>
                        </w:pPr>
                        <w:r w:rsidRPr="004629A6">
                          <w:rPr>
                            <w:iCs/>
                            <w:color w:val="000000"/>
                            <w:sz w:val="20"/>
                          </w:rPr>
                          <w:t>PP (11 children)</w:t>
                        </w:r>
                      </w:p>
                    </w:tc>
                    <w:tc>
                      <w:tcPr>
                        <w:tcW w:w="3089" w:type="dxa"/>
                        <w:shd w:val="clear" w:color="auto" w:fill="D9D9D9" w:themeFill="background1" w:themeFillShade="D9"/>
                      </w:tcPr>
                      <w:p w14:paraId="0342D22D" w14:textId="77777777" w:rsidR="00085F35" w:rsidRPr="004629A6" w:rsidRDefault="00085F35" w:rsidP="00085F35">
                        <w:pPr>
                          <w:rPr>
                            <w:iCs/>
                            <w:color w:val="000000"/>
                            <w:sz w:val="20"/>
                          </w:rPr>
                        </w:pPr>
                        <w:proofErr w:type="gramStart"/>
                        <w:r w:rsidRPr="004629A6">
                          <w:rPr>
                            <w:iCs/>
                            <w:color w:val="000000"/>
                            <w:sz w:val="20"/>
                          </w:rPr>
                          <w:t>Non PP</w:t>
                        </w:r>
                        <w:proofErr w:type="gramEnd"/>
                        <w:r w:rsidRPr="004629A6">
                          <w:rPr>
                            <w:iCs/>
                            <w:color w:val="000000"/>
                            <w:sz w:val="20"/>
                          </w:rPr>
                          <w:t xml:space="preserve"> (14 children)</w:t>
                        </w:r>
                      </w:p>
                    </w:tc>
                  </w:tr>
                  <w:tr w:rsidR="00085F35" w:rsidRPr="004629A6" w14:paraId="6AB21DF3" w14:textId="77777777" w:rsidTr="00D56DCD">
                    <w:tc>
                      <w:tcPr>
                        <w:tcW w:w="3089" w:type="dxa"/>
                        <w:shd w:val="clear" w:color="auto" w:fill="D9D9D9" w:themeFill="background1" w:themeFillShade="D9"/>
                      </w:tcPr>
                      <w:p w14:paraId="671BB878" w14:textId="77777777" w:rsidR="00085F35" w:rsidRPr="004629A6" w:rsidRDefault="00085F35" w:rsidP="00085F35">
                        <w:pPr>
                          <w:rPr>
                            <w:iCs/>
                            <w:color w:val="000000"/>
                            <w:sz w:val="20"/>
                          </w:rPr>
                        </w:pPr>
                        <w:r w:rsidRPr="004629A6">
                          <w:rPr>
                            <w:iCs/>
                            <w:color w:val="000000"/>
                            <w:sz w:val="20"/>
                          </w:rPr>
                          <w:t xml:space="preserve">Reading </w:t>
                        </w:r>
                      </w:p>
                    </w:tc>
                    <w:tc>
                      <w:tcPr>
                        <w:tcW w:w="3089" w:type="dxa"/>
                      </w:tcPr>
                      <w:p w14:paraId="2D80CFC0" w14:textId="77777777" w:rsidR="00085F35" w:rsidRPr="004629A6" w:rsidRDefault="00085F35" w:rsidP="00085F35">
                        <w:pPr>
                          <w:rPr>
                            <w:iCs/>
                            <w:color w:val="000000"/>
                            <w:sz w:val="20"/>
                          </w:rPr>
                        </w:pPr>
                        <w:r w:rsidRPr="004629A6">
                          <w:rPr>
                            <w:iCs/>
                            <w:color w:val="000000"/>
                            <w:sz w:val="20"/>
                          </w:rPr>
                          <w:t>81.8%</w:t>
                        </w:r>
                      </w:p>
                    </w:tc>
                    <w:tc>
                      <w:tcPr>
                        <w:tcW w:w="3089" w:type="dxa"/>
                      </w:tcPr>
                      <w:p w14:paraId="41AED1C4" w14:textId="77777777" w:rsidR="00085F35" w:rsidRPr="004629A6" w:rsidRDefault="00085F35" w:rsidP="00085F35">
                        <w:pPr>
                          <w:rPr>
                            <w:iCs/>
                            <w:color w:val="000000"/>
                            <w:sz w:val="20"/>
                          </w:rPr>
                        </w:pPr>
                        <w:r w:rsidRPr="004629A6">
                          <w:rPr>
                            <w:iCs/>
                            <w:color w:val="000000"/>
                            <w:sz w:val="20"/>
                          </w:rPr>
                          <w:t>85.7%</w:t>
                        </w:r>
                      </w:p>
                    </w:tc>
                  </w:tr>
                  <w:tr w:rsidR="00085F35" w:rsidRPr="004629A6" w14:paraId="6C18EED3" w14:textId="77777777" w:rsidTr="00D56DCD">
                    <w:tc>
                      <w:tcPr>
                        <w:tcW w:w="3089" w:type="dxa"/>
                        <w:shd w:val="clear" w:color="auto" w:fill="D9D9D9" w:themeFill="background1" w:themeFillShade="D9"/>
                      </w:tcPr>
                      <w:p w14:paraId="4E33D3A2" w14:textId="77777777" w:rsidR="00085F35" w:rsidRPr="004629A6" w:rsidRDefault="00085F35" w:rsidP="00085F35">
                        <w:pPr>
                          <w:rPr>
                            <w:iCs/>
                            <w:color w:val="000000"/>
                            <w:sz w:val="20"/>
                          </w:rPr>
                        </w:pPr>
                        <w:r w:rsidRPr="004629A6">
                          <w:rPr>
                            <w:iCs/>
                            <w:color w:val="000000"/>
                            <w:sz w:val="20"/>
                          </w:rPr>
                          <w:t>Writing</w:t>
                        </w:r>
                      </w:p>
                    </w:tc>
                    <w:tc>
                      <w:tcPr>
                        <w:tcW w:w="3089" w:type="dxa"/>
                      </w:tcPr>
                      <w:p w14:paraId="354ADE52" w14:textId="77777777" w:rsidR="00085F35" w:rsidRPr="004629A6" w:rsidRDefault="00085F35" w:rsidP="00085F35">
                        <w:pPr>
                          <w:rPr>
                            <w:iCs/>
                            <w:color w:val="000000"/>
                            <w:sz w:val="20"/>
                          </w:rPr>
                        </w:pPr>
                        <w:r w:rsidRPr="004629A6">
                          <w:rPr>
                            <w:iCs/>
                            <w:color w:val="000000"/>
                            <w:sz w:val="20"/>
                          </w:rPr>
                          <w:t>63.6%</w:t>
                        </w:r>
                      </w:p>
                    </w:tc>
                    <w:tc>
                      <w:tcPr>
                        <w:tcW w:w="3089" w:type="dxa"/>
                      </w:tcPr>
                      <w:p w14:paraId="143FBBEB" w14:textId="77777777" w:rsidR="00085F35" w:rsidRPr="004629A6" w:rsidRDefault="00085F35" w:rsidP="00085F35">
                        <w:pPr>
                          <w:rPr>
                            <w:iCs/>
                            <w:color w:val="000000"/>
                            <w:sz w:val="20"/>
                          </w:rPr>
                        </w:pPr>
                        <w:r w:rsidRPr="004629A6">
                          <w:rPr>
                            <w:iCs/>
                            <w:color w:val="000000"/>
                            <w:sz w:val="20"/>
                          </w:rPr>
                          <w:t>85.7%</w:t>
                        </w:r>
                      </w:p>
                    </w:tc>
                  </w:tr>
                  <w:tr w:rsidR="00085F35" w:rsidRPr="004629A6" w14:paraId="7C5CDB1B" w14:textId="77777777" w:rsidTr="00D56DCD">
                    <w:tc>
                      <w:tcPr>
                        <w:tcW w:w="3089" w:type="dxa"/>
                        <w:shd w:val="clear" w:color="auto" w:fill="D9D9D9" w:themeFill="background1" w:themeFillShade="D9"/>
                      </w:tcPr>
                      <w:p w14:paraId="138F074C" w14:textId="77777777" w:rsidR="00085F35" w:rsidRPr="004629A6" w:rsidRDefault="00085F35" w:rsidP="00085F35">
                        <w:pPr>
                          <w:rPr>
                            <w:iCs/>
                            <w:color w:val="000000"/>
                            <w:sz w:val="20"/>
                          </w:rPr>
                        </w:pPr>
                        <w:r w:rsidRPr="004629A6">
                          <w:rPr>
                            <w:iCs/>
                            <w:color w:val="000000"/>
                            <w:sz w:val="20"/>
                          </w:rPr>
                          <w:t>Maths</w:t>
                        </w:r>
                      </w:p>
                    </w:tc>
                    <w:tc>
                      <w:tcPr>
                        <w:tcW w:w="3089" w:type="dxa"/>
                      </w:tcPr>
                      <w:p w14:paraId="71179EC9" w14:textId="77777777" w:rsidR="00085F35" w:rsidRPr="004629A6" w:rsidRDefault="00085F35" w:rsidP="00085F35">
                        <w:pPr>
                          <w:rPr>
                            <w:iCs/>
                            <w:color w:val="000000"/>
                            <w:sz w:val="20"/>
                          </w:rPr>
                        </w:pPr>
                        <w:r w:rsidRPr="004629A6">
                          <w:rPr>
                            <w:iCs/>
                            <w:color w:val="000000"/>
                            <w:sz w:val="20"/>
                          </w:rPr>
                          <w:t>81.8%</w:t>
                        </w:r>
                      </w:p>
                    </w:tc>
                    <w:tc>
                      <w:tcPr>
                        <w:tcW w:w="3089" w:type="dxa"/>
                      </w:tcPr>
                      <w:p w14:paraId="32337D5B" w14:textId="77777777" w:rsidR="00085F35" w:rsidRPr="004629A6" w:rsidRDefault="00085F35" w:rsidP="00085F35">
                        <w:pPr>
                          <w:rPr>
                            <w:iCs/>
                            <w:color w:val="000000"/>
                            <w:sz w:val="20"/>
                          </w:rPr>
                        </w:pPr>
                        <w:r w:rsidRPr="004629A6">
                          <w:rPr>
                            <w:iCs/>
                            <w:color w:val="000000"/>
                            <w:sz w:val="20"/>
                          </w:rPr>
                          <w:t>92.9%</w:t>
                        </w:r>
                      </w:p>
                    </w:tc>
                  </w:tr>
                  <w:tr w:rsidR="00085F35" w:rsidRPr="004629A6" w14:paraId="6A7F381D" w14:textId="77777777" w:rsidTr="00D56DCD">
                    <w:tc>
                      <w:tcPr>
                        <w:tcW w:w="3089" w:type="dxa"/>
                        <w:shd w:val="clear" w:color="auto" w:fill="D9D9D9" w:themeFill="background1" w:themeFillShade="D9"/>
                      </w:tcPr>
                      <w:p w14:paraId="114E8CDA" w14:textId="77777777" w:rsidR="00085F35" w:rsidRPr="004629A6" w:rsidRDefault="00085F35" w:rsidP="00085F35">
                        <w:pPr>
                          <w:rPr>
                            <w:iCs/>
                            <w:color w:val="000000"/>
                            <w:sz w:val="20"/>
                          </w:rPr>
                        </w:pPr>
                        <w:r w:rsidRPr="004629A6">
                          <w:rPr>
                            <w:iCs/>
                            <w:color w:val="000000"/>
                            <w:sz w:val="20"/>
                          </w:rPr>
                          <w:t>RWM</w:t>
                        </w:r>
                      </w:p>
                    </w:tc>
                    <w:tc>
                      <w:tcPr>
                        <w:tcW w:w="3089" w:type="dxa"/>
                      </w:tcPr>
                      <w:p w14:paraId="0D7E4C5C" w14:textId="77777777" w:rsidR="00085F35" w:rsidRPr="004629A6" w:rsidRDefault="00085F35" w:rsidP="00085F35">
                        <w:pPr>
                          <w:rPr>
                            <w:iCs/>
                            <w:color w:val="000000"/>
                            <w:sz w:val="20"/>
                          </w:rPr>
                        </w:pPr>
                        <w:r w:rsidRPr="004629A6">
                          <w:rPr>
                            <w:iCs/>
                            <w:color w:val="000000"/>
                            <w:sz w:val="20"/>
                          </w:rPr>
                          <w:t>54.5%</w:t>
                        </w:r>
                      </w:p>
                    </w:tc>
                    <w:tc>
                      <w:tcPr>
                        <w:tcW w:w="3089" w:type="dxa"/>
                      </w:tcPr>
                      <w:p w14:paraId="41440BA3" w14:textId="77777777" w:rsidR="00085F35" w:rsidRPr="004629A6" w:rsidRDefault="00085F35" w:rsidP="00085F35">
                        <w:pPr>
                          <w:rPr>
                            <w:iCs/>
                            <w:color w:val="000000"/>
                            <w:sz w:val="20"/>
                          </w:rPr>
                        </w:pPr>
                        <w:r w:rsidRPr="004629A6">
                          <w:rPr>
                            <w:iCs/>
                            <w:color w:val="000000"/>
                            <w:sz w:val="20"/>
                          </w:rPr>
                          <w:t>78.6%</w:t>
                        </w:r>
                      </w:p>
                    </w:tc>
                  </w:tr>
                  <w:tr w:rsidR="00085F35" w:rsidRPr="004629A6" w14:paraId="0F4FA77F" w14:textId="77777777" w:rsidTr="00D56DCD">
                    <w:tc>
                      <w:tcPr>
                        <w:tcW w:w="3089" w:type="dxa"/>
                        <w:shd w:val="clear" w:color="auto" w:fill="D9D9D9" w:themeFill="background1" w:themeFillShade="D9"/>
                      </w:tcPr>
                      <w:p w14:paraId="2D98B0D0" w14:textId="77777777" w:rsidR="00085F35" w:rsidRPr="004629A6" w:rsidRDefault="00085F35" w:rsidP="00085F35">
                        <w:pPr>
                          <w:rPr>
                            <w:iCs/>
                            <w:color w:val="000000"/>
                            <w:sz w:val="20"/>
                          </w:rPr>
                        </w:pPr>
                        <w:r w:rsidRPr="004629A6">
                          <w:rPr>
                            <w:iCs/>
                            <w:color w:val="000000"/>
                            <w:sz w:val="20"/>
                          </w:rPr>
                          <w:t>GAPS</w:t>
                        </w:r>
                      </w:p>
                    </w:tc>
                    <w:tc>
                      <w:tcPr>
                        <w:tcW w:w="3089" w:type="dxa"/>
                      </w:tcPr>
                      <w:p w14:paraId="55C3F434" w14:textId="77777777" w:rsidR="00085F35" w:rsidRPr="004629A6" w:rsidRDefault="00085F35" w:rsidP="00085F35">
                        <w:pPr>
                          <w:rPr>
                            <w:iCs/>
                            <w:color w:val="000000"/>
                            <w:sz w:val="20"/>
                          </w:rPr>
                        </w:pPr>
                        <w:r w:rsidRPr="004629A6">
                          <w:rPr>
                            <w:iCs/>
                            <w:color w:val="000000"/>
                            <w:sz w:val="20"/>
                          </w:rPr>
                          <w:t>54.5%</w:t>
                        </w:r>
                      </w:p>
                    </w:tc>
                    <w:tc>
                      <w:tcPr>
                        <w:tcW w:w="3089" w:type="dxa"/>
                      </w:tcPr>
                      <w:p w14:paraId="597C4428" w14:textId="77777777" w:rsidR="00085F35" w:rsidRPr="004629A6" w:rsidRDefault="00085F35" w:rsidP="00085F35">
                        <w:pPr>
                          <w:rPr>
                            <w:iCs/>
                            <w:color w:val="000000"/>
                            <w:sz w:val="20"/>
                          </w:rPr>
                        </w:pPr>
                        <w:r w:rsidRPr="004629A6">
                          <w:rPr>
                            <w:iCs/>
                            <w:color w:val="000000"/>
                            <w:sz w:val="20"/>
                          </w:rPr>
                          <w:t>71.4%</w:t>
                        </w:r>
                      </w:p>
                    </w:tc>
                  </w:tr>
                </w:tbl>
                <w:p w14:paraId="7BBC40CE" w14:textId="14C05FF4" w:rsidR="00085F35" w:rsidRPr="00D56DCD" w:rsidRDefault="00085F35" w:rsidP="00085F35">
                  <w:pPr>
                    <w:rPr>
                      <w:i/>
                      <w:iCs/>
                      <w:color w:val="000000"/>
                      <w:sz w:val="20"/>
                    </w:rPr>
                  </w:pPr>
                </w:p>
              </w:tc>
            </w:tr>
            <w:tr w:rsidR="00085F35" w14:paraId="0805D55E" w14:textId="77777777" w:rsidTr="00D8469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5CE1EE81" w14:textId="7CD0C4A5" w:rsidR="00085F35" w:rsidRDefault="00085F35" w:rsidP="00085F35">
                  <w:pPr>
                    <w:rPr>
                      <w:i/>
                      <w:iCs/>
                      <w:color w:val="000000"/>
                    </w:rPr>
                  </w:pPr>
                  <w:r w:rsidRPr="00AE2088">
                    <w:rPr>
                      <w:rFonts w:cs="Arial"/>
                      <w:sz w:val="20"/>
                      <w:szCs w:val="20"/>
                    </w:rPr>
                    <w:lastRenderedPageBreak/>
                    <w:t xml:space="preserve">To address </w:t>
                  </w:r>
                  <w:r>
                    <w:rPr>
                      <w:rFonts w:cs="Arial"/>
                      <w:sz w:val="20"/>
                      <w:szCs w:val="20"/>
                    </w:rPr>
                    <w:t xml:space="preserve">identified </w:t>
                  </w:r>
                  <w:r w:rsidRPr="00AE2088">
                    <w:rPr>
                      <w:rFonts w:cs="Arial"/>
                      <w:sz w:val="20"/>
                      <w:szCs w:val="20"/>
                    </w:rPr>
                    <w:t>areas of need in disadvantaged eligible pupils so that they achieve their full potential</w:t>
                  </w:r>
                </w:p>
              </w:tc>
              <w:tc>
                <w:tcPr>
                  <w:tcW w:w="5848" w:type="dxa"/>
                </w:tcPr>
                <w:p w14:paraId="62879FAF" w14:textId="1BB0D2DD" w:rsidR="00085F35" w:rsidRDefault="00085F35" w:rsidP="00085F35">
                  <w:pPr>
                    <w:rPr>
                      <w:i/>
                      <w:iCs/>
                      <w:color w:val="000000"/>
                    </w:rPr>
                  </w:pPr>
                  <w:r>
                    <w:rPr>
                      <w:rFonts w:cs="Arial"/>
                      <w:iCs/>
                      <w:sz w:val="20"/>
                      <w:szCs w:val="20"/>
                    </w:rPr>
                    <w:t>All PP children received an age appropriate book each term to take home. Pupil voice showed these were positively received.</w:t>
                  </w:r>
                </w:p>
              </w:tc>
            </w:tr>
            <w:tr w:rsidR="00085F35" w14:paraId="10FED8D6" w14:textId="77777777" w:rsidTr="00D8469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62D733FD" w14:textId="7014E5C0" w:rsidR="00085F35" w:rsidRDefault="00085F35" w:rsidP="00085F35">
                  <w:pPr>
                    <w:rPr>
                      <w:i/>
                      <w:iCs/>
                      <w:color w:val="000000"/>
                    </w:rPr>
                  </w:pPr>
                  <w:r w:rsidRPr="00AE2088">
                    <w:rPr>
                      <w:rFonts w:cs="Arial"/>
                      <w:sz w:val="20"/>
                      <w:szCs w:val="20"/>
                    </w:rPr>
                    <w:t>To improve resilience, behaviour and attitudes to learning through coaching, mentoring and restorative approaches which will enable pupils to make the right life choices</w:t>
                  </w:r>
                </w:p>
              </w:tc>
              <w:tc>
                <w:tcPr>
                  <w:tcW w:w="5848" w:type="dxa"/>
                </w:tcPr>
                <w:p w14:paraId="38890DE5" w14:textId="365E95FF" w:rsidR="001E72CA" w:rsidRDefault="001E72CA" w:rsidP="001E72CA">
                  <w:pPr>
                    <w:spacing w:before="100" w:beforeAutospacing="1" w:after="135" w:line="240" w:lineRule="auto"/>
                    <w:rPr>
                      <w:rFonts w:cs="Arial"/>
                      <w:iCs/>
                      <w:sz w:val="20"/>
                      <w:szCs w:val="20"/>
                    </w:rPr>
                  </w:pPr>
                  <w:r>
                    <w:rPr>
                      <w:rFonts w:cs="Arial"/>
                      <w:sz w:val="20"/>
                      <w:szCs w:val="20"/>
                    </w:rPr>
                    <w:t xml:space="preserve">Mental health of pupils was supported </w:t>
                  </w:r>
                  <w:r w:rsidRPr="00FC3D77">
                    <w:rPr>
                      <w:rFonts w:cs="Arial"/>
                      <w:sz w:val="20"/>
                      <w:szCs w:val="20"/>
                    </w:rPr>
                    <w:t xml:space="preserve">through </w:t>
                  </w:r>
                  <w:r>
                    <w:rPr>
                      <w:rFonts w:cs="Arial"/>
                      <w:sz w:val="20"/>
                      <w:szCs w:val="20"/>
                    </w:rPr>
                    <w:t xml:space="preserve">the year </w:t>
                  </w:r>
                  <w:r w:rsidRPr="00FC3D77">
                    <w:rPr>
                      <w:rFonts w:cs="Arial"/>
                      <w:sz w:val="20"/>
                      <w:szCs w:val="20"/>
                    </w:rPr>
                    <w:t>through</w:t>
                  </w:r>
                  <w:r w:rsidR="00BF339C">
                    <w:rPr>
                      <w:rFonts w:cs="Arial"/>
                      <w:sz w:val="20"/>
                      <w:szCs w:val="20"/>
                    </w:rPr>
                    <w:t xml:space="preserve"> our</w:t>
                  </w:r>
                  <w:r w:rsidRPr="00FC3D77">
                    <w:rPr>
                      <w:rFonts w:cs="Arial"/>
                      <w:sz w:val="20"/>
                      <w:szCs w:val="20"/>
                    </w:rPr>
                    <w:t xml:space="preserve"> learning mentor and LSAs.</w:t>
                  </w:r>
                  <w:r>
                    <w:rPr>
                      <w:rFonts w:cs="Arial"/>
                      <w:sz w:val="20"/>
                      <w:szCs w:val="20"/>
                    </w:rPr>
                    <w:t xml:space="preserve"> </w:t>
                  </w:r>
                </w:p>
                <w:p w14:paraId="74F25DA1" w14:textId="6A7CB654" w:rsidR="00085F35" w:rsidRPr="00BF339C" w:rsidRDefault="00BF339C" w:rsidP="00085F35">
                  <w:pPr>
                    <w:rPr>
                      <w:iCs/>
                      <w:color w:val="000000"/>
                    </w:rPr>
                  </w:pPr>
                  <w:r w:rsidRPr="00BF339C">
                    <w:rPr>
                      <w:iCs/>
                      <w:color w:val="000000"/>
                      <w:sz w:val="20"/>
                    </w:rPr>
                    <w:t>CPOMS monitoring shows no</w:t>
                  </w:r>
                  <w:r>
                    <w:rPr>
                      <w:iCs/>
                      <w:color w:val="000000"/>
                      <w:sz w:val="20"/>
                    </w:rPr>
                    <w:t xml:space="preserve"> difference between the behaviour of PP and </w:t>
                  </w:r>
                  <w:proofErr w:type="gramStart"/>
                  <w:r>
                    <w:rPr>
                      <w:iCs/>
                      <w:color w:val="000000"/>
                      <w:sz w:val="20"/>
                    </w:rPr>
                    <w:t>non PP</w:t>
                  </w:r>
                  <w:proofErr w:type="gramEnd"/>
                  <w:r>
                    <w:rPr>
                      <w:iCs/>
                      <w:color w:val="000000"/>
                      <w:sz w:val="20"/>
                    </w:rPr>
                    <w:t xml:space="preserve"> children.</w:t>
                  </w:r>
                </w:p>
              </w:tc>
            </w:tr>
            <w:tr w:rsidR="00085F35" w14:paraId="31176A38" w14:textId="77777777" w:rsidTr="00D8469C">
              <w:tc>
                <w:tcPr>
                  <w:tcW w:w="3419" w:type="dxa"/>
                  <w:tcBorders>
                    <w:top w:val="single" w:sz="4" w:space="0" w:color="000000"/>
                    <w:left w:val="single" w:sz="4" w:space="0" w:color="000000"/>
                    <w:bottom w:val="single" w:sz="4" w:space="0" w:color="000000"/>
                    <w:right w:val="single" w:sz="4" w:space="0" w:color="000000"/>
                  </w:tcBorders>
                  <w:shd w:val="clear" w:color="auto" w:fill="auto"/>
                </w:tcPr>
                <w:p w14:paraId="6CBEE1AC" w14:textId="77777777" w:rsidR="00085F35" w:rsidRPr="00AE2088" w:rsidRDefault="00085F35" w:rsidP="00085F35">
                  <w:pPr>
                    <w:spacing w:after="0" w:line="240" w:lineRule="auto"/>
                    <w:rPr>
                      <w:rFonts w:cs="Arial"/>
                      <w:sz w:val="20"/>
                      <w:szCs w:val="20"/>
                    </w:rPr>
                  </w:pPr>
                  <w:r w:rsidRPr="00AE2088">
                    <w:rPr>
                      <w:rFonts w:cs="Arial"/>
                      <w:sz w:val="20"/>
                      <w:szCs w:val="20"/>
                    </w:rPr>
                    <w:t xml:space="preserve">To </w:t>
                  </w:r>
                  <w:r>
                    <w:rPr>
                      <w:rFonts w:cs="Arial"/>
                      <w:sz w:val="20"/>
                      <w:szCs w:val="20"/>
                    </w:rPr>
                    <w:t>increase cultural capital and life experiences for PPG children to widen their knowledge and understanding of the world.</w:t>
                  </w:r>
                </w:p>
                <w:p w14:paraId="1BD13A39" w14:textId="77777777" w:rsidR="00085F35" w:rsidRDefault="00085F35" w:rsidP="00085F35">
                  <w:pPr>
                    <w:rPr>
                      <w:i/>
                      <w:iCs/>
                      <w:color w:val="000000"/>
                    </w:rPr>
                  </w:pPr>
                </w:p>
              </w:tc>
              <w:tc>
                <w:tcPr>
                  <w:tcW w:w="5848" w:type="dxa"/>
                </w:tcPr>
                <w:p w14:paraId="44B36430" w14:textId="4004B98B" w:rsidR="00085F35" w:rsidRDefault="00085F35" w:rsidP="00085F35">
                  <w:pPr>
                    <w:rPr>
                      <w:i/>
                      <w:iCs/>
                      <w:color w:val="000000"/>
                    </w:rPr>
                  </w:pPr>
                  <w:r w:rsidRPr="008C1217">
                    <w:rPr>
                      <w:rFonts w:cs="Arial"/>
                      <w:iCs/>
                      <w:sz w:val="20"/>
                      <w:szCs w:val="20"/>
                    </w:rPr>
                    <w:t xml:space="preserve">Support was provided to enrich the curriculum, for example: extended curricular costs, subsidised educational visits, improved </w:t>
                  </w:r>
                  <w:r w:rsidRPr="00FC3D77">
                    <w:rPr>
                      <w:rFonts w:cs="Arial"/>
                      <w:iCs/>
                      <w:sz w:val="20"/>
                      <w:szCs w:val="20"/>
                    </w:rPr>
                    <w:t>quality lunchtime and after school provision.</w:t>
                  </w:r>
                  <w:r>
                    <w:rPr>
                      <w:rFonts w:cs="Arial"/>
                      <w:iCs/>
                      <w:sz w:val="20"/>
                      <w:szCs w:val="20"/>
                    </w:rPr>
                    <w:t xml:space="preserve"> </w:t>
                  </w:r>
                  <w:r w:rsidRPr="005A4DC4">
                    <w:rPr>
                      <w:rFonts w:cs="Arial"/>
                      <w:iCs/>
                      <w:sz w:val="20"/>
                      <w:szCs w:val="20"/>
                    </w:rPr>
                    <w:t>The number of disadvantage</w:t>
                  </w:r>
                  <w:r>
                    <w:rPr>
                      <w:rFonts w:cs="Arial"/>
                      <w:iCs/>
                      <w:sz w:val="20"/>
                      <w:szCs w:val="20"/>
                    </w:rPr>
                    <w:t>d</w:t>
                  </w:r>
                  <w:r w:rsidRPr="005A4DC4">
                    <w:rPr>
                      <w:rFonts w:cs="Arial"/>
                      <w:iCs/>
                      <w:sz w:val="20"/>
                      <w:szCs w:val="20"/>
                    </w:rPr>
                    <w:t xml:space="preserve"> pupils attending the large amount of extra-curricular activities continues to grow, with staff ensuring that the parents are made aware sensitively that the clubs are available</w:t>
                  </w:r>
                  <w:r>
                    <w:rPr>
                      <w:rFonts w:cs="Arial"/>
                      <w:iCs/>
                      <w:sz w:val="20"/>
                      <w:szCs w:val="20"/>
                    </w:rPr>
                    <w:t>.</w:t>
                  </w:r>
                </w:p>
              </w:tc>
            </w:tr>
          </w:tbl>
          <w:p w14:paraId="5023926C" w14:textId="3B2BC910" w:rsidR="0064167B" w:rsidRPr="002F4C6F" w:rsidRDefault="0064167B" w:rsidP="00C50FEF">
            <w:pPr>
              <w:suppressAutoHyphens w:val="0"/>
              <w:autoSpaceDN/>
              <w:rPr>
                <w:i/>
                <w:iCs/>
                <w:lang w:eastAsia="en-US"/>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D0689E"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4FC36DB" w:rsidR="00D0689E" w:rsidRDefault="00D0689E" w:rsidP="00D0689E">
            <w:pPr>
              <w:pStyle w:val="TableRow"/>
              <w:ind w:left="0" w:right="0"/>
            </w:pPr>
            <w:r w:rsidRPr="004A53C8">
              <w:rPr>
                <w:sz w:val="20"/>
                <w:szCs w:val="20"/>
              </w:rPr>
              <w:t>ELSA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AD12F79" w:rsidR="00D0689E" w:rsidRDefault="00D0689E" w:rsidP="00D0689E">
            <w:pPr>
              <w:pStyle w:val="TableRowCentered"/>
              <w:ind w:left="0" w:right="0"/>
              <w:jc w:val="left"/>
            </w:pPr>
            <w:r w:rsidRPr="004A53C8">
              <w:rPr>
                <w:sz w:val="20"/>
              </w:rPr>
              <w:t xml:space="preserve">Sheila Burton, Educational Psychologist </w:t>
            </w:r>
          </w:p>
        </w:tc>
      </w:tr>
      <w:tr w:rsidR="00D0689E" w14:paraId="05D0034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271A" w14:textId="26170C7A" w:rsidR="00D0689E" w:rsidRDefault="00D0689E" w:rsidP="00D0689E">
            <w:pPr>
              <w:pStyle w:val="TableRow"/>
              <w:ind w:left="0" w:right="0"/>
            </w:pPr>
            <w:r w:rsidRPr="004A53C8">
              <w:rPr>
                <w:sz w:val="20"/>
                <w:szCs w:val="20"/>
              </w:rPr>
              <w:t xml:space="preserve">SERI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AC5B9" w14:textId="5D465DCA" w:rsidR="00D0689E" w:rsidRDefault="00D0689E" w:rsidP="00D0689E">
            <w:pPr>
              <w:pStyle w:val="TableRowCentered"/>
              <w:ind w:left="0" w:right="0"/>
              <w:jc w:val="left"/>
            </w:pPr>
            <w:r w:rsidRPr="004A53C8">
              <w:rPr>
                <w:sz w:val="20"/>
              </w:rPr>
              <w:t>Stockport Early Reading Intervention</w:t>
            </w:r>
          </w:p>
        </w:tc>
      </w:tr>
      <w:tr w:rsidR="00D0689E" w14:paraId="3D3D197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9454" w14:textId="122162E2" w:rsidR="00D0689E" w:rsidRDefault="00D0689E" w:rsidP="00D0689E">
            <w:pPr>
              <w:pStyle w:val="TableRow"/>
              <w:ind w:left="0" w:right="0"/>
            </w:pPr>
            <w:r>
              <w:rPr>
                <w:sz w:val="20"/>
                <w:szCs w:val="20"/>
              </w:rPr>
              <w:t>Memory Fix</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B2167" w14:textId="25DB3DB6" w:rsidR="00D0689E" w:rsidRDefault="00D0689E" w:rsidP="00D0689E">
            <w:pPr>
              <w:pStyle w:val="TableRowCentered"/>
              <w:ind w:left="0" w:right="0"/>
              <w:jc w:val="left"/>
            </w:pPr>
            <w:r>
              <w:rPr>
                <w:sz w:val="20"/>
              </w:rPr>
              <w:t>TTS</w:t>
            </w:r>
          </w:p>
        </w:tc>
      </w:tr>
      <w:tr w:rsidR="00D0689E" w14:paraId="6B461D1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D9DD9" w14:textId="66DB3F23" w:rsidR="00D0689E" w:rsidRDefault="00D0689E" w:rsidP="00D0689E">
            <w:pPr>
              <w:pStyle w:val="TableRow"/>
              <w:ind w:left="0" w:right="0"/>
            </w:pPr>
            <w:r>
              <w:rPr>
                <w:sz w:val="20"/>
                <w:szCs w:val="20"/>
              </w:rPr>
              <w:t>Lego Therapy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D6B31" w14:textId="0412219F" w:rsidR="00D0689E" w:rsidRDefault="00D0689E" w:rsidP="00D0689E">
            <w:pPr>
              <w:pStyle w:val="TableRowCentered"/>
              <w:ind w:left="0" w:right="0"/>
              <w:jc w:val="left"/>
            </w:pPr>
            <w:r>
              <w:rPr>
                <w:sz w:val="20"/>
              </w:rPr>
              <w:t>The Lego Foundation</w:t>
            </w:r>
          </w:p>
        </w:tc>
      </w:tr>
      <w:tr w:rsidR="00D0689E" w14:paraId="757F993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3B08A" w14:textId="46A0868F" w:rsidR="00D0689E" w:rsidRDefault="00D0689E" w:rsidP="00D0689E">
            <w:pPr>
              <w:pStyle w:val="TableRow"/>
              <w:ind w:left="0" w:right="0"/>
            </w:pPr>
            <w:r>
              <w:rPr>
                <w:sz w:val="20"/>
                <w:szCs w:val="20"/>
              </w:rPr>
              <w:t>Toe by Toe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67B6" w14:textId="175705D3" w:rsidR="00D0689E" w:rsidRDefault="00D0689E" w:rsidP="00D0689E">
            <w:pPr>
              <w:pStyle w:val="TableRowCentered"/>
              <w:ind w:left="0" w:right="0"/>
              <w:jc w:val="left"/>
            </w:pPr>
            <w:r>
              <w:rPr>
                <w:sz w:val="20"/>
              </w:rPr>
              <w:t>toe-by-toe.co.uk</w:t>
            </w:r>
          </w:p>
        </w:tc>
      </w:tr>
      <w:tr w:rsidR="00D0689E" w14:paraId="3BD4559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62AAD" w14:textId="00873C62" w:rsidR="00D0689E" w:rsidRDefault="00D0689E" w:rsidP="00D0689E">
            <w:pPr>
              <w:pStyle w:val="TableRow"/>
              <w:ind w:left="0" w:right="0"/>
            </w:pPr>
            <w:r>
              <w:rPr>
                <w:sz w:val="20"/>
                <w:szCs w:val="20"/>
              </w:rPr>
              <w:t>Word Wasp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E5EC" w14:textId="5F242F13" w:rsidR="00D0689E" w:rsidRDefault="00D0689E" w:rsidP="00D0689E">
            <w:pPr>
              <w:pStyle w:val="TableRowCentered"/>
              <w:ind w:left="0" w:right="0"/>
              <w:jc w:val="left"/>
            </w:pPr>
            <w:r>
              <w:rPr>
                <w:sz w:val="20"/>
              </w:rPr>
              <w:t>Harry Cowling</w:t>
            </w:r>
          </w:p>
        </w:tc>
      </w:tr>
      <w:tr w:rsidR="00D0689E" w14:paraId="17A699C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3DB2C" w14:textId="0A2EE3F1" w:rsidR="00D0689E" w:rsidRDefault="00D0689E" w:rsidP="00D0689E">
            <w:pPr>
              <w:pStyle w:val="TableRow"/>
              <w:ind w:left="0" w:right="0"/>
            </w:pPr>
            <w:r>
              <w:rPr>
                <w:sz w:val="20"/>
                <w:szCs w:val="20"/>
              </w:rPr>
              <w:t>Motor Skills United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BFB5C" w14:textId="43EB530B" w:rsidR="00D0689E" w:rsidRDefault="00D0689E" w:rsidP="00D0689E">
            <w:pPr>
              <w:pStyle w:val="TableRowCentered"/>
              <w:ind w:left="0" w:right="0"/>
              <w:jc w:val="left"/>
            </w:pPr>
            <w:r>
              <w:rPr>
                <w:sz w:val="20"/>
              </w:rPr>
              <w:t>Occupational Therapy Programme</w:t>
            </w:r>
          </w:p>
        </w:tc>
      </w:tr>
      <w:tr w:rsidR="00D0689E" w14:paraId="775567C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2CF46" w14:textId="35DD9334" w:rsidR="00D0689E" w:rsidRDefault="00D0689E" w:rsidP="00D0689E">
            <w:pPr>
              <w:pStyle w:val="TableRow"/>
              <w:ind w:left="0" w:right="0"/>
            </w:pPr>
            <w:proofErr w:type="spellStart"/>
            <w:r>
              <w:rPr>
                <w:sz w:val="20"/>
                <w:szCs w:val="20"/>
              </w:rPr>
              <w:t>Wellcomm</w:t>
            </w:r>
            <w:proofErr w:type="spellEnd"/>
            <w:r>
              <w:rPr>
                <w:sz w:val="20"/>
                <w:szCs w:val="20"/>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8BFF" w14:textId="1065134D" w:rsidR="00D0689E" w:rsidRDefault="00D0689E" w:rsidP="00D0689E">
            <w:pPr>
              <w:pStyle w:val="TableRowCentered"/>
              <w:ind w:left="0" w:right="0"/>
              <w:jc w:val="left"/>
            </w:pPr>
            <w:r>
              <w:rPr>
                <w:sz w:val="20"/>
              </w:rPr>
              <w:t>GL Education</w:t>
            </w:r>
          </w:p>
        </w:tc>
      </w:tr>
      <w:tr w:rsidR="00D0689E" w14:paraId="62D80B5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7619" w14:textId="10A2298C" w:rsidR="00D0689E" w:rsidRDefault="00D0689E" w:rsidP="00D0689E">
            <w:pPr>
              <w:pStyle w:val="TableRow"/>
              <w:ind w:left="0" w:right="0"/>
            </w:pPr>
            <w:proofErr w:type="spellStart"/>
            <w:r>
              <w:rPr>
                <w:sz w:val="20"/>
                <w:szCs w:val="20"/>
              </w:rPr>
              <w:t>Elklan</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781F" w14:textId="382098A8" w:rsidR="00D0689E" w:rsidRDefault="00D0689E" w:rsidP="00D0689E">
            <w:pPr>
              <w:pStyle w:val="TableRowCentered"/>
              <w:ind w:left="0" w:right="0"/>
              <w:jc w:val="left"/>
            </w:pPr>
            <w:proofErr w:type="spellStart"/>
            <w:r>
              <w:rPr>
                <w:sz w:val="20"/>
              </w:rPr>
              <w:t>Elklan</w:t>
            </w:r>
            <w:proofErr w:type="spellEnd"/>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headerReference w:type="default" r:id="rId25"/>
      <w:footerReference w:type="default" r:id="rId2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9204" w14:textId="77777777" w:rsidR="005201C6" w:rsidRDefault="005201C6">
      <w:pPr>
        <w:spacing w:after="0" w:line="240" w:lineRule="auto"/>
      </w:pPr>
      <w:r>
        <w:separator/>
      </w:r>
    </w:p>
  </w:endnote>
  <w:endnote w:type="continuationSeparator" w:id="0">
    <w:p w14:paraId="376A96E7" w14:textId="77777777" w:rsidR="005201C6" w:rsidRDefault="005201C6">
      <w:pPr>
        <w:spacing w:after="0" w:line="240" w:lineRule="auto"/>
      </w:pPr>
      <w:r>
        <w:continuationSeparator/>
      </w:r>
    </w:p>
  </w:endnote>
  <w:endnote w:type="continuationNotice" w:id="1">
    <w:p w14:paraId="207DB352" w14:textId="77777777" w:rsidR="005201C6" w:rsidRDefault="00520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22C15" w14:textId="77777777" w:rsidR="005201C6" w:rsidRDefault="005201C6">
      <w:pPr>
        <w:spacing w:after="0" w:line="240" w:lineRule="auto"/>
      </w:pPr>
      <w:r>
        <w:separator/>
      </w:r>
    </w:p>
  </w:footnote>
  <w:footnote w:type="continuationSeparator" w:id="0">
    <w:p w14:paraId="45208E9D" w14:textId="77777777" w:rsidR="005201C6" w:rsidRDefault="005201C6">
      <w:pPr>
        <w:spacing w:after="0" w:line="240" w:lineRule="auto"/>
      </w:pPr>
      <w:r>
        <w:continuationSeparator/>
      </w:r>
    </w:p>
  </w:footnote>
  <w:footnote w:type="continuationNotice" w:id="1">
    <w:p w14:paraId="1E6128AE" w14:textId="77777777" w:rsidR="005201C6" w:rsidRDefault="005201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73A22AA"/>
    <w:multiLevelType w:val="hybridMultilevel"/>
    <w:tmpl w:val="1374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8"/>
  </w:num>
  <w:num w:numId="5">
    <w:abstractNumId w:val="0"/>
  </w:num>
  <w:num w:numId="6">
    <w:abstractNumId w:val="9"/>
  </w:num>
  <w:num w:numId="7">
    <w:abstractNumId w:val="13"/>
  </w:num>
  <w:num w:numId="8">
    <w:abstractNumId w:val="17"/>
  </w:num>
  <w:num w:numId="9">
    <w:abstractNumId w:val="15"/>
  </w:num>
  <w:num w:numId="10">
    <w:abstractNumId w:val="14"/>
  </w:num>
  <w:num w:numId="11">
    <w:abstractNumId w:val="4"/>
  </w:num>
  <w:num w:numId="12">
    <w:abstractNumId w:val="16"/>
  </w:num>
  <w:num w:numId="13">
    <w:abstractNumId w:val="12"/>
  </w:num>
  <w:num w:numId="14">
    <w:abstractNumId w:val="10"/>
  </w:num>
  <w:num w:numId="15">
    <w:abstractNumId w:val="2"/>
  </w:num>
  <w:num w:numId="16">
    <w:abstractNumId w:val="1"/>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85F35"/>
    <w:rsid w:val="000929EC"/>
    <w:rsid w:val="00093CDE"/>
    <w:rsid w:val="000A5B9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14D"/>
    <w:rsid w:val="00116FA8"/>
    <w:rsid w:val="00120AB1"/>
    <w:rsid w:val="00123A7F"/>
    <w:rsid w:val="001278D0"/>
    <w:rsid w:val="00127F72"/>
    <w:rsid w:val="00140646"/>
    <w:rsid w:val="0014409B"/>
    <w:rsid w:val="001472BA"/>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1467"/>
    <w:rsid w:val="001E206F"/>
    <w:rsid w:val="001E5750"/>
    <w:rsid w:val="001E66BA"/>
    <w:rsid w:val="001E72C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4569"/>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2EC3"/>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9A6"/>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0C7"/>
    <w:rsid w:val="00601122"/>
    <w:rsid w:val="00603C63"/>
    <w:rsid w:val="00606521"/>
    <w:rsid w:val="00607CEB"/>
    <w:rsid w:val="00613299"/>
    <w:rsid w:val="0061762D"/>
    <w:rsid w:val="00632BB3"/>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81AD3"/>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112"/>
    <w:rsid w:val="00752AE7"/>
    <w:rsid w:val="00752D3B"/>
    <w:rsid w:val="0075337B"/>
    <w:rsid w:val="00755CD4"/>
    <w:rsid w:val="00756E60"/>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95190"/>
    <w:rsid w:val="007A63CA"/>
    <w:rsid w:val="007A713B"/>
    <w:rsid w:val="007A7DA0"/>
    <w:rsid w:val="007B64E5"/>
    <w:rsid w:val="007C2F04"/>
    <w:rsid w:val="007F06E5"/>
    <w:rsid w:val="007F5B8B"/>
    <w:rsid w:val="00805BC0"/>
    <w:rsid w:val="00814FB9"/>
    <w:rsid w:val="00817E9A"/>
    <w:rsid w:val="00827786"/>
    <w:rsid w:val="00827BDA"/>
    <w:rsid w:val="00830D57"/>
    <w:rsid w:val="00831F00"/>
    <w:rsid w:val="00850CA0"/>
    <w:rsid w:val="00852A2F"/>
    <w:rsid w:val="00852DC8"/>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1217"/>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26F7D"/>
    <w:rsid w:val="00936519"/>
    <w:rsid w:val="009413AA"/>
    <w:rsid w:val="00941DA3"/>
    <w:rsid w:val="00942C0C"/>
    <w:rsid w:val="00951711"/>
    <w:rsid w:val="009539E3"/>
    <w:rsid w:val="00954083"/>
    <w:rsid w:val="00954A5E"/>
    <w:rsid w:val="009551B2"/>
    <w:rsid w:val="0096022C"/>
    <w:rsid w:val="009619B1"/>
    <w:rsid w:val="00964625"/>
    <w:rsid w:val="00965B57"/>
    <w:rsid w:val="009668EE"/>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47585"/>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545"/>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3420"/>
    <w:rsid w:val="00BB6902"/>
    <w:rsid w:val="00BC068B"/>
    <w:rsid w:val="00BC078B"/>
    <w:rsid w:val="00BC3A7D"/>
    <w:rsid w:val="00BC67F6"/>
    <w:rsid w:val="00BD2004"/>
    <w:rsid w:val="00BD4B12"/>
    <w:rsid w:val="00BD700D"/>
    <w:rsid w:val="00BE2F92"/>
    <w:rsid w:val="00BE44AC"/>
    <w:rsid w:val="00BF0D5F"/>
    <w:rsid w:val="00BF30FC"/>
    <w:rsid w:val="00BF339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0FEF"/>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D1E8C"/>
    <w:rsid w:val="00CE28ED"/>
    <w:rsid w:val="00CE7E1B"/>
    <w:rsid w:val="00D04F25"/>
    <w:rsid w:val="00D06874"/>
    <w:rsid w:val="00D0689E"/>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56DCD"/>
    <w:rsid w:val="00D618E4"/>
    <w:rsid w:val="00D61DA5"/>
    <w:rsid w:val="00D642A3"/>
    <w:rsid w:val="00D71B8A"/>
    <w:rsid w:val="00D72C08"/>
    <w:rsid w:val="00D75247"/>
    <w:rsid w:val="00D81325"/>
    <w:rsid w:val="00D8469C"/>
    <w:rsid w:val="00D875ED"/>
    <w:rsid w:val="00D877D0"/>
    <w:rsid w:val="00D90013"/>
    <w:rsid w:val="00D91B9C"/>
    <w:rsid w:val="00D92C1B"/>
    <w:rsid w:val="00D94CC7"/>
    <w:rsid w:val="00D97901"/>
    <w:rsid w:val="00DA1AF4"/>
    <w:rsid w:val="00DA3F81"/>
    <w:rsid w:val="00DB0C60"/>
    <w:rsid w:val="00DC641A"/>
    <w:rsid w:val="00DD21A1"/>
    <w:rsid w:val="00DD5869"/>
    <w:rsid w:val="00DD68FB"/>
    <w:rsid w:val="00DD6B7D"/>
    <w:rsid w:val="00DD6E14"/>
    <w:rsid w:val="00DE15AC"/>
    <w:rsid w:val="00DF2015"/>
    <w:rsid w:val="00E061EC"/>
    <w:rsid w:val="00E0696B"/>
    <w:rsid w:val="00E10E81"/>
    <w:rsid w:val="00E1190A"/>
    <w:rsid w:val="00E13E51"/>
    <w:rsid w:val="00E21F56"/>
    <w:rsid w:val="00E3014F"/>
    <w:rsid w:val="00E4286E"/>
    <w:rsid w:val="00E43EAD"/>
    <w:rsid w:val="00E450EA"/>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D7ADD"/>
    <w:rsid w:val="00EE291B"/>
    <w:rsid w:val="00EE2CB2"/>
    <w:rsid w:val="00EF35EA"/>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support-for-schools/school-planning-support/1-high-quality-teaching" TargetMode="External"/><Relationship Id="rId13" Type="http://schemas.openxmlformats.org/officeDocument/2006/relationships/hyperlink" Target="https://educationendowmentfoundation.org.uk/education-evidence/teaching-learning-toolkit/metacognition-and-self-regulation" TargetMode="External"/><Relationship Id="rId18" Type="http://schemas.openxmlformats.org/officeDocument/2006/relationships/hyperlink" Target="https://educationendowmentfoundation.org.uk/evidence-summaries/teaching-learning-toolkit/small-group-tuitio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ducationendowmentfoundation.org.uk/education-evidence/guidance-reports/primary-sel" TargetMode="External"/><Relationship Id="rId7" Type="http://schemas.openxmlformats.org/officeDocument/2006/relationships/endnotes" Target="endnotes.xml"/><Relationship Id="rId12" Type="http://schemas.openxmlformats.org/officeDocument/2006/relationships/hyperlink" Target="https://d2tic4wvo1iusb.cloudfront.net/eef-guidance-reports/effective-professional-development/EEF-Effective-Professional-Development-Guidance-Report.pdf"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ducationendowmentfoundation.org.uk/news/eef-blog-anchoring-curriculum-knowledge-using-metacognitive-strategies" TargetMode="External"/><Relationship Id="rId20" Type="http://schemas.openxmlformats.org/officeDocument/2006/relationships/hyperlink" Target="https://educationendowmentfoundation.org.uk/education-evidence/guidance-reports/primary-s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metacognition-and-self-regulation" TargetMode="External"/><Relationship Id="rId24" Type="http://schemas.openxmlformats.org/officeDocument/2006/relationships/hyperlink" Target="https://cdn.ourfp.org/wp-content/uploads/20210205173235/Reading_communities_"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yperlink" Target="https://d2tic4wvo1iusb.cloudfront.net/eef-guidance-reports/supporting-parents/EEF_Parental_Engagement_Guidance_%20Report.pdf?v=1635355222" TargetMode="External"/><Relationship Id="rId28" Type="http://schemas.openxmlformats.org/officeDocument/2006/relationships/theme" Target="theme/theme1.xml"/><Relationship Id="rId10" Type="http://schemas.openxmlformats.org/officeDocument/2006/relationships/hyperlink" Target="https://educationendowmentfoundation.org.uk/news/moving-from-differentiation-to-adaptive-teaching" TargetMode="External"/><Relationship Id="rId19" Type="http://schemas.openxmlformats.org/officeDocument/2006/relationships/hyperlink" Target="https://explore-education-statistics.service.gov.uk/find-statistics/the-link-between-absence-and-attainment-at-ks2-and-ks4" TargetMode="External"/><Relationship Id="rId4" Type="http://schemas.openxmlformats.org/officeDocument/2006/relationships/settings" Target="settings.xml"/><Relationship Id="rId9" Type="http://schemas.openxmlformats.org/officeDocument/2006/relationships/hyperlink" Target="https://educationendowment" TargetMode="External"/><Relationship Id="rId14" Type="http://schemas.openxmlformats.org/officeDocument/2006/relationships/hyperlink" Target="https://educationendowmentfoundation.org.uk/education-evidence/teaching-learning-toolkit/oral-language-interventions" TargetMode="External"/><Relationship Id="rId22" Type="http://schemas.openxmlformats.org/officeDocument/2006/relationships/hyperlink" Target="https://educationendowmentfoundation.org.uk/education-evidence/teaching-learning-toolkit/arts-particip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648F4-8ABF-4024-8674-19B1EB55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rebecca.grant</cp:lastModifiedBy>
  <cp:revision>2</cp:revision>
  <cp:lastPrinted>2014-09-18T05:26:00Z</cp:lastPrinted>
  <dcterms:created xsi:type="dcterms:W3CDTF">2025-12-02T14:58:00Z</dcterms:created>
  <dcterms:modified xsi:type="dcterms:W3CDTF">2025-12-02T14:58:00Z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